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F513B2">
      <w:pPr>
        <w:rPr>
          <w:rFonts w:hint="eastAsia" w:ascii="黑体" w:hAnsi="黑体" w:eastAsia="黑体"/>
          <w:sz w:val="32"/>
          <w:szCs w:val="32"/>
        </w:rPr>
      </w:pPr>
    </w:p>
    <w:p w14:paraId="5E0154DA">
      <w:pPr>
        <w:jc w:val="center"/>
        <w:rPr>
          <w:rFonts w:hint="eastAsia" w:ascii="方正小标宋_GBK" w:hAnsi="宋体" w:eastAsia="方正小标宋_GBK"/>
          <w:sz w:val="44"/>
          <w:szCs w:val="44"/>
        </w:rPr>
      </w:pPr>
    </w:p>
    <w:p w14:paraId="328CAE22">
      <w:pPr>
        <w:jc w:val="center"/>
        <w:rPr>
          <w:rFonts w:hint="eastAsia" w:ascii="方正小标宋_GBK" w:hAnsi="宋体" w:eastAsia="方正小标宋_GBK"/>
          <w:sz w:val="44"/>
          <w:szCs w:val="44"/>
        </w:rPr>
      </w:pPr>
      <w:r>
        <w:rPr>
          <w:rFonts w:hint="eastAsia" w:ascii="方正小标宋_GBK" w:hAnsi="宋体" w:eastAsia="方正小标宋_GBK"/>
          <w:sz w:val="44"/>
          <w:szCs w:val="44"/>
        </w:rPr>
        <w:t>中共木垒哈萨克自治县委员会网络安全和信息化委员会办公室2023年度部门决算</w:t>
      </w:r>
    </w:p>
    <w:p w14:paraId="5A011469">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7678D39D">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145B1537">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0549971B">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73369C2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111190F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69F2EC88">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2768FBF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0197156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1C1D3F7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2918049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19758DE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4DD0D19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5F05255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63768BD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55DEAB83">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5A66B19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30B777AC">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0976D376">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2E9AFE68">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0B1E998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FF476EF">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50836CB7">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5CEE83AB">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453E132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970DB4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79997AD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100AD67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0AD1470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199F98B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1AB15F0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2198114C">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61DC6474">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5F0699CB">
      <w:r>
        <w:rPr>
          <w:rFonts w:hint="eastAsia" w:ascii="仿宋_GB2312" w:hAnsi="仿宋_GB2312" w:eastAsia="仿宋_GB2312" w:cs="仿宋_GB2312"/>
          <w:sz w:val="32"/>
          <w:szCs w:val="32"/>
        </w:rPr>
        <w:fldChar w:fldCharType="end"/>
      </w:r>
    </w:p>
    <w:p w14:paraId="1B46F0EB">
      <w:pPr>
        <w:rPr>
          <w:rFonts w:ascii="仿宋_GB2312" w:eastAsia="仿宋_GB2312"/>
          <w:sz w:val="32"/>
          <w:szCs w:val="32"/>
        </w:rPr>
      </w:pPr>
      <w:r>
        <w:rPr>
          <w:rFonts w:hint="eastAsia" w:ascii="仿宋_GB2312" w:eastAsia="仿宋_GB2312"/>
          <w:sz w:val="32"/>
          <w:szCs w:val="32"/>
        </w:rPr>
        <w:br w:type="page"/>
      </w:r>
    </w:p>
    <w:p w14:paraId="0B9517A1">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71B82E10">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41CC0CF4">
      <w:pPr>
        <w:ind w:firstLine="640" w:firstLineChars="200"/>
        <w:jc w:val="left"/>
        <w:rPr>
          <w:rFonts w:ascii="仿宋_GB2312" w:eastAsia="仿宋_GB2312"/>
          <w:sz w:val="32"/>
          <w:szCs w:val="32"/>
        </w:rPr>
      </w:pPr>
      <w:r>
        <w:rPr>
          <w:rFonts w:hint="eastAsia" w:ascii="仿宋_GB2312" w:eastAsia="仿宋_GB2312"/>
          <w:sz w:val="32"/>
          <w:szCs w:val="32"/>
        </w:rPr>
        <w:t>我单位主要职能涉密，不予公开。</w:t>
      </w:r>
    </w:p>
    <w:p w14:paraId="4C19D145">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157E1BBC">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中共木垒哈萨克自治县委员会网络安全和信息化委员会办公室2023年度，实有人数</w:t>
      </w:r>
      <w:r>
        <w:rPr>
          <w:rFonts w:hint="eastAsia" w:ascii="仿宋_GB2312" w:eastAsia="仿宋_GB2312"/>
          <w:sz w:val="32"/>
          <w:szCs w:val="32"/>
          <w:lang w:val="zh-CN"/>
        </w:rPr>
        <w:t>18</w:t>
      </w:r>
      <w:r>
        <w:rPr>
          <w:rFonts w:hint="eastAsia" w:ascii="仿宋_GB2312" w:eastAsia="仿宋_GB2312"/>
          <w:sz w:val="32"/>
          <w:szCs w:val="32"/>
        </w:rPr>
        <w:t>人，其中：在职人员</w:t>
      </w:r>
      <w:r>
        <w:rPr>
          <w:rFonts w:hint="eastAsia" w:ascii="仿宋_GB2312" w:eastAsia="仿宋_GB2312"/>
          <w:sz w:val="32"/>
          <w:szCs w:val="32"/>
          <w:lang w:val="zh-CN"/>
        </w:rPr>
        <w:t>17</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w:t>
      </w:r>
      <w:r>
        <w:rPr>
          <w:rFonts w:hint="eastAsia" w:ascii="仿宋_GB2312" w:eastAsia="仿宋_GB2312"/>
          <w:sz w:val="32"/>
          <w:szCs w:val="32"/>
        </w:rPr>
        <w:t>人。</w:t>
      </w:r>
    </w:p>
    <w:p w14:paraId="37AF0C55">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5</w:t>
      </w:r>
      <w:r>
        <w:rPr>
          <w:rFonts w:hint="eastAsia" w:ascii="仿宋_GB2312" w:hAnsi="黑体" w:eastAsia="仿宋_GB2312" w:cs="宋体"/>
          <w:bCs/>
          <w:kern w:val="0"/>
          <w:sz w:val="32"/>
          <w:szCs w:val="32"/>
        </w:rPr>
        <w:t>个处室，分别是：综合科、党建科、传播科、应急科、安全科</w:t>
      </w:r>
      <w:r>
        <w:rPr>
          <w:rFonts w:hint="eastAsia" w:ascii="仿宋_GB2312" w:hAnsi="宋体" w:eastAsia="仿宋_GB2312" w:cs="宋体"/>
          <w:kern w:val="0"/>
          <w:sz w:val="32"/>
          <w:szCs w:val="32"/>
        </w:rPr>
        <w:t>。</w:t>
      </w:r>
    </w:p>
    <w:p w14:paraId="2C0C5134">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6F93FB40">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1B1AAB68">
      <w:pPr>
        <w:ind w:firstLine="640" w:firstLineChars="200"/>
        <w:jc w:val="left"/>
        <w:rPr>
          <w:rFonts w:ascii="仿宋_GB2312" w:eastAsia="仿宋_GB2312"/>
          <w:sz w:val="32"/>
          <w:szCs w:val="32"/>
        </w:rPr>
      </w:pPr>
      <w:r>
        <w:rPr>
          <w:rFonts w:hint="eastAsia" w:ascii="仿宋_GB2312" w:eastAsia="仿宋_GB2312"/>
          <w:sz w:val="32"/>
          <w:szCs w:val="32"/>
        </w:rPr>
        <w:t>2023年度收入总计265.70万元，其中：本年收入合计265.70万元，使用非财政拨款结余0.00万元，年初结转和结余0.00万元。</w:t>
      </w:r>
    </w:p>
    <w:p w14:paraId="692E70A6">
      <w:pPr>
        <w:ind w:firstLine="640" w:firstLineChars="200"/>
        <w:jc w:val="left"/>
        <w:rPr>
          <w:rFonts w:ascii="仿宋_GB2312" w:eastAsia="仿宋_GB2312"/>
          <w:sz w:val="32"/>
          <w:szCs w:val="32"/>
        </w:rPr>
      </w:pPr>
      <w:r>
        <w:rPr>
          <w:rFonts w:hint="eastAsia" w:ascii="仿宋_GB2312" w:eastAsia="仿宋_GB2312"/>
          <w:sz w:val="32"/>
          <w:szCs w:val="32"/>
        </w:rPr>
        <w:t>2023年度支出总计265.70万元，其中：本年支出合计265.70万元，结余分配0.00万元，年末结转和结余0.00万元。</w:t>
      </w:r>
    </w:p>
    <w:p w14:paraId="35A46F2A">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减少2.48万元</w:t>
      </w:r>
      <w:r>
        <w:rPr>
          <w:rFonts w:hint="eastAsia" w:ascii="仿宋_GB2312" w:eastAsia="仿宋_GB2312"/>
          <w:sz w:val="32"/>
          <w:szCs w:val="32"/>
        </w:rPr>
        <w:t>，下降0.92%，主要原因是：本年单位硬件设备购置经费较上年减少。</w:t>
      </w:r>
    </w:p>
    <w:p w14:paraId="00497674">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1D51EB9A">
      <w:pPr>
        <w:ind w:firstLine="640" w:firstLineChars="200"/>
        <w:jc w:val="left"/>
        <w:rPr>
          <w:rFonts w:ascii="仿宋_GB2312" w:eastAsia="仿宋_GB2312"/>
          <w:sz w:val="32"/>
          <w:szCs w:val="32"/>
        </w:rPr>
      </w:pPr>
      <w:r>
        <w:rPr>
          <w:rFonts w:hint="eastAsia" w:ascii="仿宋_GB2312" w:eastAsia="仿宋_GB2312"/>
          <w:sz w:val="32"/>
          <w:szCs w:val="32"/>
        </w:rPr>
        <w:t>本年收入265.70万元，其中：财政拨款收入</w:t>
      </w:r>
      <w:r>
        <w:rPr>
          <w:rFonts w:hint="eastAsia" w:ascii="仿宋_GB2312" w:eastAsia="仿宋_GB2312"/>
          <w:sz w:val="32"/>
          <w:szCs w:val="32"/>
          <w:lang w:val="zh-CN"/>
        </w:rPr>
        <w:t>265.64</w:t>
      </w:r>
      <w:r>
        <w:rPr>
          <w:rFonts w:hint="eastAsia" w:ascii="仿宋_GB2312" w:eastAsia="仿宋_GB2312"/>
          <w:sz w:val="32"/>
          <w:szCs w:val="32"/>
        </w:rPr>
        <w:t>万元，占</w:t>
      </w:r>
      <w:r>
        <w:rPr>
          <w:rFonts w:hint="eastAsia" w:ascii="仿宋_GB2312" w:eastAsia="仿宋_GB2312"/>
          <w:sz w:val="32"/>
          <w:szCs w:val="32"/>
          <w:lang w:val="zh-CN"/>
        </w:rPr>
        <w:t>99.98</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0.06</w:t>
      </w:r>
      <w:r>
        <w:rPr>
          <w:rFonts w:hint="eastAsia" w:ascii="仿宋_GB2312" w:eastAsia="仿宋_GB2312"/>
          <w:sz w:val="32"/>
          <w:szCs w:val="32"/>
        </w:rPr>
        <w:t>万元，占</w:t>
      </w:r>
      <w:r>
        <w:rPr>
          <w:rFonts w:hint="eastAsia" w:ascii="仿宋_GB2312" w:eastAsia="仿宋_GB2312"/>
          <w:sz w:val="32"/>
          <w:szCs w:val="32"/>
          <w:lang w:val="zh-CN"/>
        </w:rPr>
        <w:t>0.02</w:t>
      </w:r>
      <w:r>
        <w:rPr>
          <w:rFonts w:hint="eastAsia" w:ascii="仿宋_GB2312" w:eastAsia="仿宋_GB2312"/>
          <w:sz w:val="32"/>
          <w:szCs w:val="32"/>
        </w:rPr>
        <w:t>%。</w:t>
      </w:r>
    </w:p>
    <w:p w14:paraId="6AC833E8">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1D7C4604">
      <w:pPr>
        <w:ind w:firstLine="640" w:firstLineChars="200"/>
        <w:jc w:val="left"/>
        <w:rPr>
          <w:rFonts w:ascii="仿宋_GB2312" w:eastAsia="仿宋_GB2312" w:cs="仿宋_GB2312"/>
          <w:sz w:val="30"/>
          <w:szCs w:val="30"/>
          <w:lang w:val="zh-CN"/>
        </w:rPr>
      </w:pPr>
      <w:r>
        <w:rPr>
          <w:rFonts w:hint="eastAsia" w:ascii="仿宋_GB2312" w:eastAsia="仿宋_GB2312" w:cs="仿宋_GB2312"/>
          <w:sz w:val="32"/>
          <w:szCs w:val="32"/>
          <w:lang w:val="zh-CN"/>
        </w:rPr>
        <w:t>本年支出265.70万元，其中：基本支出247.83万元，占93.27%；项目支出17.87万元，占6.73%；上缴上级支出0.00万元，占0.00%；经营支出0.00万元，占0.00%；对附属单位补助支出0.00万元，占0.00%。</w:t>
      </w:r>
    </w:p>
    <w:p w14:paraId="4396CF4F">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0B9BEAF6">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265.64</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265.64</w:t>
      </w:r>
      <w:r>
        <w:rPr>
          <w:rFonts w:hint="eastAsia" w:ascii="仿宋_GB2312" w:eastAsia="仿宋_GB2312"/>
          <w:sz w:val="32"/>
          <w:szCs w:val="32"/>
        </w:rPr>
        <w:t>万元。财政拨款支出总计</w:t>
      </w:r>
      <w:r>
        <w:rPr>
          <w:rFonts w:hint="eastAsia" w:ascii="仿宋_GB2312" w:eastAsia="仿宋_GB2312"/>
          <w:sz w:val="32"/>
          <w:szCs w:val="32"/>
          <w:lang w:val="zh-CN"/>
        </w:rPr>
        <w:t>265.64</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265.64</w:t>
      </w:r>
      <w:r>
        <w:rPr>
          <w:rFonts w:hint="eastAsia" w:ascii="仿宋_GB2312" w:eastAsia="仿宋_GB2312"/>
          <w:sz w:val="32"/>
          <w:szCs w:val="32"/>
        </w:rPr>
        <w:t>万元。</w:t>
      </w:r>
    </w:p>
    <w:p w14:paraId="77918A00">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减少2.54万元</w:t>
      </w:r>
      <w:r>
        <w:rPr>
          <w:rFonts w:hint="eastAsia" w:ascii="仿宋_GB2312" w:eastAsia="仿宋_GB2312"/>
          <w:sz w:val="32"/>
          <w:szCs w:val="32"/>
        </w:rPr>
        <w:t>，下降0.95%,主要原因是：本年单位硬件设备购置经费较上年减少。与年初预算相比，年初预算数</w:t>
      </w:r>
      <w:r>
        <w:rPr>
          <w:rFonts w:hint="eastAsia" w:ascii="仿宋_GB2312" w:eastAsia="仿宋_GB2312"/>
          <w:sz w:val="32"/>
          <w:szCs w:val="32"/>
          <w:lang w:val="zh-CN"/>
        </w:rPr>
        <w:t>235.58</w:t>
      </w:r>
      <w:r>
        <w:rPr>
          <w:rFonts w:hint="eastAsia" w:ascii="仿宋_GB2312" w:eastAsia="仿宋_GB2312"/>
          <w:sz w:val="32"/>
          <w:szCs w:val="32"/>
        </w:rPr>
        <w:t>万元，决算数</w:t>
      </w:r>
      <w:r>
        <w:rPr>
          <w:rFonts w:hint="eastAsia" w:ascii="仿宋_GB2312" w:eastAsia="仿宋_GB2312"/>
          <w:sz w:val="32"/>
          <w:szCs w:val="32"/>
          <w:lang w:val="zh-CN"/>
        </w:rPr>
        <w:t>265.64</w:t>
      </w:r>
      <w:r>
        <w:rPr>
          <w:rFonts w:hint="eastAsia" w:ascii="仿宋_GB2312" w:eastAsia="仿宋_GB2312"/>
          <w:sz w:val="32"/>
          <w:szCs w:val="32"/>
        </w:rPr>
        <w:t>万元，预决算差异率12.76%，主要原因是：本年单位人员增加，年中</w:t>
      </w:r>
      <w:r>
        <w:rPr>
          <w:rFonts w:hint="eastAsia" w:ascii="仿宋_GB2312" w:eastAsia="仿宋_GB2312"/>
          <w:sz w:val="32"/>
          <w:szCs w:val="32"/>
          <w:lang w:eastAsia="zh-CN"/>
        </w:rPr>
        <w:t>追加</w:t>
      </w:r>
      <w:r>
        <w:rPr>
          <w:rFonts w:hint="eastAsia" w:ascii="仿宋_GB2312" w:eastAsia="仿宋_GB2312"/>
          <w:sz w:val="32"/>
          <w:szCs w:val="32"/>
        </w:rPr>
        <w:t>工资、津</w:t>
      </w:r>
      <w:r>
        <w:rPr>
          <w:rFonts w:hint="eastAsia" w:ascii="仿宋_GB2312" w:eastAsia="仿宋_GB2312"/>
          <w:sz w:val="32"/>
          <w:szCs w:val="32"/>
          <w:lang w:val="en-US" w:eastAsia="zh-CN"/>
        </w:rPr>
        <w:t>贴</w:t>
      </w:r>
      <w:r>
        <w:rPr>
          <w:rFonts w:hint="eastAsia" w:ascii="仿宋_GB2312" w:eastAsia="仿宋_GB2312"/>
          <w:sz w:val="32"/>
          <w:szCs w:val="32"/>
        </w:rPr>
        <w:t>补贴</w:t>
      </w:r>
      <w:r>
        <w:rPr>
          <w:rFonts w:hint="eastAsia" w:ascii="仿宋_GB2312" w:eastAsia="仿宋_GB2312"/>
          <w:sz w:val="32"/>
          <w:szCs w:val="32"/>
          <w:lang w:eastAsia="zh-CN"/>
        </w:rPr>
        <w:t>、</w:t>
      </w:r>
      <w:r>
        <w:rPr>
          <w:rFonts w:hint="eastAsia" w:ascii="仿宋_GB2312" w:eastAsia="仿宋_GB2312"/>
          <w:sz w:val="32"/>
          <w:szCs w:val="32"/>
          <w:lang w:val="en-US" w:eastAsia="zh-CN"/>
        </w:rPr>
        <w:t>奖金</w:t>
      </w:r>
      <w:r>
        <w:rPr>
          <w:rFonts w:hint="eastAsia" w:ascii="仿宋_GB2312" w:eastAsia="仿宋_GB2312"/>
          <w:sz w:val="32"/>
          <w:szCs w:val="32"/>
        </w:rPr>
        <w:t>等</w:t>
      </w:r>
      <w:r>
        <w:rPr>
          <w:rFonts w:hint="eastAsia" w:ascii="仿宋_GB2312" w:eastAsia="仿宋_GB2312"/>
          <w:sz w:val="32"/>
          <w:szCs w:val="32"/>
          <w:lang w:val="en-US" w:eastAsia="zh-CN"/>
        </w:rPr>
        <w:t>相关</w:t>
      </w:r>
      <w:r>
        <w:rPr>
          <w:rFonts w:hint="eastAsia" w:ascii="仿宋_GB2312" w:eastAsia="仿宋_GB2312"/>
          <w:sz w:val="32"/>
          <w:szCs w:val="32"/>
        </w:rPr>
        <w:t>人员经费。</w:t>
      </w:r>
    </w:p>
    <w:p w14:paraId="25680967">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233D815F">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0998E1E5">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2023年度一般公共预算财政拨款支出265.64万元，占本年支出合计的</w:t>
      </w:r>
      <w:r>
        <w:rPr>
          <w:rFonts w:hint="eastAsia" w:ascii="仿宋_GB2312" w:eastAsia="仿宋_GB2312"/>
          <w:sz w:val="32"/>
          <w:szCs w:val="32"/>
          <w:lang w:val="zh-CN"/>
        </w:rPr>
        <w:t>99.98%</w:t>
      </w:r>
      <w:r>
        <w:rPr>
          <w:rFonts w:hint="eastAsia" w:ascii="仿宋_GB2312" w:eastAsia="仿宋_GB2312"/>
          <w:sz w:val="32"/>
          <w:szCs w:val="32"/>
        </w:rPr>
        <w:t>。与上年相比，</w:t>
      </w:r>
      <w:r>
        <w:rPr>
          <w:rFonts w:hint="eastAsia" w:ascii="仿宋_GB2312" w:eastAsia="仿宋_GB2312"/>
          <w:sz w:val="32"/>
          <w:szCs w:val="32"/>
          <w:lang w:val="zh-CN"/>
        </w:rPr>
        <w:t>减少2.54万元</w:t>
      </w:r>
      <w:r>
        <w:rPr>
          <w:rFonts w:hint="eastAsia" w:ascii="仿宋_GB2312" w:eastAsia="仿宋_GB2312"/>
          <w:sz w:val="32"/>
          <w:szCs w:val="32"/>
        </w:rPr>
        <w:t>，下降0.95%,主要原因是：本年单位硬件设备购置经费较上年减少。与年初预算相比，年初预算数</w:t>
      </w:r>
      <w:r>
        <w:rPr>
          <w:rFonts w:hint="eastAsia" w:ascii="仿宋_GB2312" w:eastAsia="仿宋_GB2312"/>
          <w:sz w:val="32"/>
          <w:szCs w:val="32"/>
          <w:lang w:val="zh-CN"/>
        </w:rPr>
        <w:t>235.58</w:t>
      </w:r>
      <w:r>
        <w:rPr>
          <w:rFonts w:hint="eastAsia" w:ascii="仿宋_GB2312" w:eastAsia="仿宋_GB2312"/>
          <w:sz w:val="32"/>
          <w:szCs w:val="32"/>
        </w:rPr>
        <w:t>万元，决算数</w:t>
      </w:r>
      <w:r>
        <w:rPr>
          <w:rFonts w:hint="eastAsia" w:ascii="仿宋_GB2312" w:eastAsia="仿宋_GB2312"/>
          <w:sz w:val="32"/>
          <w:szCs w:val="32"/>
          <w:lang w:val="zh-CN"/>
        </w:rPr>
        <w:t>265.64</w:t>
      </w:r>
      <w:r>
        <w:rPr>
          <w:rFonts w:hint="eastAsia" w:ascii="仿宋_GB2312" w:eastAsia="仿宋_GB2312"/>
          <w:sz w:val="32"/>
          <w:szCs w:val="32"/>
        </w:rPr>
        <w:t>万元，预决算差异率</w:t>
      </w:r>
      <w:r>
        <w:rPr>
          <w:rFonts w:hint="eastAsia" w:ascii="仿宋_GB2312" w:eastAsia="仿宋_GB2312"/>
          <w:sz w:val="32"/>
          <w:szCs w:val="32"/>
          <w:lang w:val="zh-CN"/>
        </w:rPr>
        <w:t>12.76%</w:t>
      </w:r>
      <w:r>
        <w:rPr>
          <w:rFonts w:hint="eastAsia" w:ascii="仿宋_GB2312" w:eastAsia="仿宋_GB2312"/>
          <w:sz w:val="32"/>
          <w:szCs w:val="32"/>
        </w:rPr>
        <w:t>，主要原因是：本年单位人员增加，年中</w:t>
      </w:r>
      <w:r>
        <w:rPr>
          <w:rFonts w:hint="eastAsia" w:ascii="仿宋_GB2312" w:eastAsia="仿宋_GB2312"/>
          <w:sz w:val="32"/>
          <w:szCs w:val="32"/>
          <w:lang w:eastAsia="zh-CN"/>
        </w:rPr>
        <w:t>追加</w:t>
      </w:r>
      <w:r>
        <w:rPr>
          <w:rFonts w:hint="eastAsia" w:ascii="仿宋_GB2312" w:eastAsia="仿宋_GB2312"/>
          <w:sz w:val="32"/>
          <w:szCs w:val="32"/>
        </w:rPr>
        <w:t>工资、津</w:t>
      </w:r>
      <w:r>
        <w:rPr>
          <w:rFonts w:hint="eastAsia" w:ascii="仿宋_GB2312" w:eastAsia="仿宋_GB2312"/>
          <w:sz w:val="32"/>
          <w:szCs w:val="32"/>
          <w:lang w:val="en-US" w:eastAsia="zh-CN"/>
        </w:rPr>
        <w:t>贴</w:t>
      </w:r>
      <w:r>
        <w:rPr>
          <w:rFonts w:hint="eastAsia" w:ascii="仿宋_GB2312" w:eastAsia="仿宋_GB2312"/>
          <w:sz w:val="32"/>
          <w:szCs w:val="32"/>
        </w:rPr>
        <w:t>补贴</w:t>
      </w:r>
      <w:r>
        <w:rPr>
          <w:rFonts w:hint="eastAsia" w:ascii="仿宋_GB2312" w:eastAsia="仿宋_GB2312"/>
          <w:sz w:val="32"/>
          <w:szCs w:val="32"/>
          <w:lang w:eastAsia="zh-CN"/>
        </w:rPr>
        <w:t>、</w:t>
      </w:r>
      <w:r>
        <w:rPr>
          <w:rFonts w:hint="eastAsia" w:ascii="仿宋_GB2312" w:eastAsia="仿宋_GB2312"/>
          <w:sz w:val="32"/>
          <w:szCs w:val="32"/>
          <w:lang w:val="en-US" w:eastAsia="zh-CN"/>
        </w:rPr>
        <w:t>奖金</w:t>
      </w:r>
      <w:r>
        <w:rPr>
          <w:rFonts w:hint="eastAsia" w:ascii="仿宋_GB2312" w:eastAsia="仿宋_GB2312"/>
          <w:sz w:val="32"/>
          <w:szCs w:val="32"/>
        </w:rPr>
        <w:t>等</w:t>
      </w:r>
      <w:r>
        <w:rPr>
          <w:rFonts w:hint="eastAsia" w:ascii="仿宋_GB2312" w:eastAsia="仿宋_GB2312"/>
          <w:sz w:val="32"/>
          <w:szCs w:val="32"/>
          <w:lang w:val="en-US" w:eastAsia="zh-CN"/>
        </w:rPr>
        <w:t>相关</w:t>
      </w:r>
      <w:r>
        <w:rPr>
          <w:rFonts w:hint="eastAsia" w:ascii="仿宋_GB2312" w:eastAsia="仿宋_GB2312"/>
          <w:sz w:val="32"/>
          <w:szCs w:val="32"/>
        </w:rPr>
        <w:t>人员经费。</w:t>
      </w:r>
    </w:p>
    <w:p w14:paraId="491ED380">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3EA4B004">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216.04</w:t>
      </w:r>
      <w:r>
        <w:rPr>
          <w:rFonts w:ascii="仿宋_GB2312" w:eastAsia="仿宋_GB2312"/>
          <w:kern w:val="2"/>
          <w:sz w:val="32"/>
          <w:szCs w:val="32"/>
          <w:lang w:val="zh-CN"/>
        </w:rPr>
        <w:t>万元，占</w:t>
      </w:r>
      <w:r>
        <w:rPr>
          <w:rFonts w:hint="eastAsia" w:ascii="仿宋_GB2312" w:eastAsia="仿宋_GB2312"/>
          <w:kern w:val="2"/>
          <w:sz w:val="32"/>
          <w:szCs w:val="32"/>
          <w:lang w:val="zh-CN"/>
        </w:rPr>
        <w:t>81.33</w:t>
      </w:r>
      <w:r>
        <w:rPr>
          <w:rFonts w:ascii="仿宋_GB2312" w:eastAsia="仿宋_GB2312"/>
          <w:kern w:val="2"/>
          <w:sz w:val="32"/>
          <w:szCs w:val="32"/>
          <w:lang w:val="zh-CN"/>
        </w:rPr>
        <w:t>%；</w:t>
      </w:r>
    </w:p>
    <w:p w14:paraId="4F014D1D">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2.社会保障和就业支出（类）</w:t>
      </w:r>
      <w:r>
        <w:rPr>
          <w:rFonts w:hint="eastAsia" w:ascii="仿宋_GB2312" w:eastAsia="仿宋_GB2312"/>
          <w:kern w:val="2"/>
          <w:sz w:val="32"/>
          <w:szCs w:val="32"/>
          <w:lang w:val="zh-CN"/>
        </w:rPr>
        <w:t>26.88</w:t>
      </w:r>
      <w:r>
        <w:rPr>
          <w:rFonts w:ascii="仿宋_GB2312" w:eastAsia="仿宋_GB2312"/>
          <w:kern w:val="2"/>
          <w:sz w:val="32"/>
          <w:szCs w:val="32"/>
          <w:lang w:val="zh-CN"/>
        </w:rPr>
        <w:t>万元，占</w:t>
      </w:r>
      <w:r>
        <w:rPr>
          <w:rFonts w:hint="eastAsia" w:ascii="仿宋_GB2312" w:eastAsia="仿宋_GB2312"/>
          <w:kern w:val="2"/>
          <w:sz w:val="32"/>
          <w:szCs w:val="32"/>
          <w:lang w:val="zh-CN"/>
        </w:rPr>
        <w:t>10.12</w:t>
      </w:r>
      <w:r>
        <w:rPr>
          <w:rFonts w:ascii="仿宋_GB2312" w:eastAsia="仿宋_GB2312"/>
          <w:kern w:val="2"/>
          <w:sz w:val="32"/>
          <w:szCs w:val="32"/>
          <w:lang w:val="zh-CN"/>
        </w:rPr>
        <w:t>%；</w:t>
      </w:r>
    </w:p>
    <w:p w14:paraId="7FF82C32">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3.住房保障支出（类）</w:t>
      </w:r>
      <w:r>
        <w:rPr>
          <w:rFonts w:hint="eastAsia" w:ascii="仿宋_GB2312" w:eastAsia="仿宋_GB2312"/>
          <w:kern w:val="2"/>
          <w:sz w:val="32"/>
          <w:szCs w:val="32"/>
          <w:lang w:val="zh-CN"/>
        </w:rPr>
        <w:t>17.73</w:t>
      </w:r>
      <w:r>
        <w:rPr>
          <w:rFonts w:ascii="仿宋_GB2312" w:eastAsia="仿宋_GB2312"/>
          <w:kern w:val="2"/>
          <w:sz w:val="32"/>
          <w:szCs w:val="32"/>
          <w:lang w:val="zh-CN"/>
        </w:rPr>
        <w:t>万元，占</w:t>
      </w:r>
      <w:r>
        <w:rPr>
          <w:rFonts w:hint="eastAsia" w:ascii="仿宋_GB2312" w:eastAsia="仿宋_GB2312"/>
          <w:kern w:val="2"/>
          <w:sz w:val="32"/>
          <w:szCs w:val="32"/>
          <w:lang w:val="zh-CN"/>
        </w:rPr>
        <w:t>6.67</w:t>
      </w:r>
      <w:r>
        <w:rPr>
          <w:rFonts w:ascii="仿宋_GB2312" w:eastAsia="仿宋_GB2312"/>
          <w:kern w:val="2"/>
          <w:sz w:val="32"/>
          <w:szCs w:val="32"/>
          <w:lang w:val="zh-CN"/>
        </w:rPr>
        <w:t>%；</w:t>
      </w:r>
    </w:p>
    <w:p w14:paraId="6EC4721F">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4.其他支出（类）</w:t>
      </w:r>
      <w:r>
        <w:rPr>
          <w:rFonts w:hint="eastAsia" w:ascii="仿宋_GB2312" w:eastAsia="仿宋_GB2312"/>
          <w:kern w:val="2"/>
          <w:sz w:val="32"/>
          <w:szCs w:val="32"/>
          <w:lang w:val="zh-CN"/>
        </w:rPr>
        <w:t>4.99</w:t>
      </w:r>
      <w:r>
        <w:rPr>
          <w:rFonts w:ascii="仿宋_GB2312" w:eastAsia="仿宋_GB2312"/>
          <w:kern w:val="2"/>
          <w:sz w:val="32"/>
          <w:szCs w:val="32"/>
          <w:lang w:val="zh-CN"/>
        </w:rPr>
        <w:t>万元，占</w:t>
      </w:r>
      <w:r>
        <w:rPr>
          <w:rFonts w:hint="eastAsia" w:ascii="仿宋_GB2312" w:eastAsia="仿宋_GB2312"/>
          <w:kern w:val="2"/>
          <w:sz w:val="32"/>
          <w:szCs w:val="32"/>
          <w:lang w:val="zh-CN"/>
        </w:rPr>
        <w:t>1.88</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015B0820">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1C5366A7">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1.住房保障支出（类）住房改革支出（款）住房公积金（项）:支出决算数为17.73万元，比上年决算增加0.33万元，增长1.90%，主要原因是：单位人员增加，人员住房公积金缴费增加。</w:t>
      </w:r>
    </w:p>
    <w:p w14:paraId="4695E2E5">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2.一般公共服务支出（类）党委办公厅（室）及相关机构事务（款）行政运行（项）:支出决算数为203.16万元，比上年决算增加4.17万元，增长2.10%，主要原因是：单位人员增加，工资、津</w:t>
      </w:r>
      <w:r>
        <w:rPr>
          <w:rFonts w:hint="eastAsia" w:ascii="仿宋_GB2312" w:eastAsia="仿宋_GB2312"/>
          <w:sz w:val="32"/>
          <w:szCs w:val="32"/>
          <w:lang w:val="en-US" w:eastAsia="zh-CN"/>
        </w:rPr>
        <w:t>贴</w:t>
      </w:r>
      <w:r>
        <w:rPr>
          <w:rFonts w:hint="eastAsia" w:ascii="仿宋_GB2312" w:eastAsia="仿宋_GB2312"/>
          <w:sz w:val="32"/>
          <w:szCs w:val="32"/>
        </w:rPr>
        <w:t>补贴</w:t>
      </w:r>
      <w:r>
        <w:rPr>
          <w:rFonts w:hint="eastAsia" w:ascii="仿宋_GB2312" w:eastAsia="仿宋_GB2312"/>
          <w:sz w:val="32"/>
          <w:szCs w:val="32"/>
          <w:lang w:eastAsia="zh-CN"/>
        </w:rPr>
        <w:t>、</w:t>
      </w:r>
      <w:r>
        <w:rPr>
          <w:rFonts w:hint="eastAsia" w:ascii="仿宋_GB2312" w:eastAsia="仿宋_GB2312"/>
          <w:sz w:val="32"/>
          <w:szCs w:val="32"/>
          <w:lang w:val="en-US" w:eastAsia="zh-CN"/>
        </w:rPr>
        <w:t>奖金</w:t>
      </w:r>
      <w:r>
        <w:rPr>
          <w:rFonts w:hint="eastAsia" w:ascii="仿宋_GB2312" w:eastAsia="仿宋_GB2312"/>
          <w:sz w:val="32"/>
          <w:szCs w:val="32"/>
        </w:rPr>
        <w:t>等</w:t>
      </w:r>
      <w:r>
        <w:rPr>
          <w:rFonts w:hint="eastAsia" w:ascii="仿宋_GB2312" w:eastAsia="仿宋_GB2312"/>
          <w:sz w:val="32"/>
          <w:szCs w:val="32"/>
          <w:lang w:val="en-US" w:eastAsia="zh-CN"/>
        </w:rPr>
        <w:t>相关</w:t>
      </w:r>
      <w:r>
        <w:rPr>
          <w:rFonts w:hint="eastAsia" w:ascii="仿宋_GB2312" w:eastAsia="仿宋_GB2312"/>
          <w:sz w:val="32"/>
          <w:szCs w:val="32"/>
        </w:rPr>
        <w:t>人员经费增加。</w:t>
      </w:r>
    </w:p>
    <w:p w14:paraId="7F2E4271">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3.一般公共服务支出（类）组织事务（款）其他组织事务支出（项）:支出决算数为2.00万元，比上年决算增加2.00万元，增长100%，主要原因是：2023年开展“五好”党支部创建工作经费较上年增加。</w:t>
      </w:r>
    </w:p>
    <w:p w14:paraId="2CB7EA14">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4.一般公共服务支出（类）网信事务（款）其他网信事务支出（项）:支出决算数为10.88万元，比上年决算增加10.88万元，增长100%，主要原因是：2023年单位网络运行监测经费较上年增加。</w:t>
      </w:r>
    </w:p>
    <w:p w14:paraId="269BD304">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5.社会保障和就业支出（类）行政事业单位养老支出（款）机关事业单位职业年金缴费支出（项）:支出决算数为4.25万元，比上年决算减少5.61万元，下降56.90%，主要原因是：</w:t>
      </w:r>
      <w:r>
        <w:rPr>
          <w:rFonts w:hint="eastAsia" w:ascii="仿宋_GB2312" w:eastAsia="仿宋_GB2312"/>
          <w:sz w:val="32"/>
          <w:lang w:val="en-US" w:eastAsia="zh-CN"/>
        </w:rPr>
        <w:t>单位本年退休人员一次性职业年金缴费减少</w:t>
      </w:r>
      <w:r>
        <w:rPr>
          <w:rFonts w:hint="eastAsia" w:ascii="仿宋_GB2312" w:eastAsia="仿宋_GB2312"/>
          <w:sz w:val="32"/>
          <w:szCs w:val="32"/>
        </w:rPr>
        <w:t>。</w:t>
      </w:r>
    </w:p>
    <w:p w14:paraId="42FAFA73">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6.其他支出（类）其他支出（款）其他支出（项）:支出决算数为4.99万元，比上年决算增加4.99万元，增长100%，主要原因是：本年单位新增为民办实事工作</w:t>
      </w:r>
      <w:r>
        <w:rPr>
          <w:rFonts w:hint="eastAsia" w:ascii="仿宋_GB2312" w:eastAsia="仿宋_GB2312"/>
          <w:sz w:val="32"/>
          <w:szCs w:val="32"/>
          <w:lang w:val="en-US" w:eastAsia="zh-CN"/>
        </w:rPr>
        <w:t>项目</w:t>
      </w:r>
      <w:r>
        <w:rPr>
          <w:rFonts w:hint="eastAsia" w:ascii="仿宋_GB2312" w:eastAsia="仿宋_GB2312"/>
          <w:sz w:val="32"/>
          <w:szCs w:val="32"/>
        </w:rPr>
        <w:t>经费。</w:t>
      </w:r>
    </w:p>
    <w:p w14:paraId="3166D7E2">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7.社会保障和就业支出（类）行政事业单位养老支出（款）机关事业单位基本养老保险缴费支出（项）:支出决算数为22.63万元，比上年决算增加0.71万元，增长3.24%，主要原因是：单位</w:t>
      </w:r>
      <w:r>
        <w:rPr>
          <w:rFonts w:hint="eastAsia" w:ascii="仿宋_GB2312" w:eastAsia="仿宋_GB2312"/>
          <w:sz w:val="32"/>
          <w:szCs w:val="32"/>
          <w:lang w:val="en-US" w:eastAsia="zh-CN"/>
        </w:rPr>
        <w:t>本年</w:t>
      </w:r>
      <w:r>
        <w:rPr>
          <w:rFonts w:hint="eastAsia" w:ascii="仿宋_GB2312" w:eastAsia="仿宋_GB2312"/>
          <w:sz w:val="32"/>
          <w:szCs w:val="32"/>
        </w:rPr>
        <w:t>人员增加，人员养老保险缴费增加。</w:t>
      </w:r>
    </w:p>
    <w:p w14:paraId="5174C53A">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8.一般公共服务支出（类）政府办公厅（室）及相关机构事务（款）行政运行（项）:支出决算数为0.00万元，比上年决算减少20.00万元，下降100%，主要原因是：本年单位</w:t>
      </w:r>
      <w:r>
        <w:rPr>
          <w:rFonts w:hint="eastAsia" w:ascii="仿宋_GB2312" w:eastAsia="仿宋_GB2312"/>
          <w:sz w:val="32"/>
          <w:szCs w:val="32"/>
          <w:lang w:val="en-US" w:eastAsia="zh-CN"/>
        </w:rPr>
        <w:t>长聘人员工资福利费用减少</w:t>
      </w:r>
      <w:r>
        <w:rPr>
          <w:rFonts w:hint="eastAsia" w:ascii="仿宋_GB2312" w:eastAsia="仿宋_GB2312"/>
          <w:sz w:val="32"/>
          <w:szCs w:val="32"/>
        </w:rPr>
        <w:t>。</w:t>
      </w:r>
    </w:p>
    <w:p w14:paraId="07BF30E5">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4CC3671B">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247.76万元，其中：人员经费239.13万元，包括：基本工资、津贴补贴、奖金、绩效工资、机关事业单位基本养老保险缴费、职业年金缴费、职工基本医疗保险缴费、公务员医疗补助缴费、其他社会保障缴费、住房公积金、退休费、奖励金。</w:t>
      </w:r>
    </w:p>
    <w:p w14:paraId="7F574D33">
      <w:pPr>
        <w:ind w:firstLine="640" w:firstLineChars="200"/>
        <w:jc w:val="left"/>
        <w:rPr>
          <w:rFonts w:ascii="仿宋_GB2312" w:eastAsia="仿宋_GB2312"/>
          <w:sz w:val="32"/>
          <w:szCs w:val="32"/>
        </w:rPr>
      </w:pPr>
      <w:r>
        <w:rPr>
          <w:rFonts w:hint="eastAsia" w:ascii="仿宋_GB2312" w:eastAsia="仿宋_GB2312"/>
          <w:sz w:val="32"/>
          <w:szCs w:val="32"/>
        </w:rPr>
        <w:t>公用经费8.63万元，包括：办公费、水费、电费、邮电费、取暖费、维修（护）费、培训费、公务用车运行维护费。</w:t>
      </w:r>
    </w:p>
    <w:p w14:paraId="533987ED">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6120663D">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“三公”经费支出0.36万元，</w:t>
      </w:r>
      <w:r>
        <w:rPr>
          <w:rFonts w:hint="eastAsia" w:ascii="仿宋_GB2312" w:eastAsia="仿宋_GB2312"/>
          <w:sz w:val="32"/>
          <w:szCs w:val="32"/>
        </w:rPr>
        <w:t>比上年</w:t>
      </w:r>
      <w:r>
        <w:rPr>
          <w:rFonts w:hint="eastAsia" w:ascii="仿宋_GB2312" w:eastAsia="仿宋_GB2312"/>
          <w:sz w:val="32"/>
          <w:szCs w:val="32"/>
          <w:lang w:val="zh-CN"/>
        </w:rPr>
        <w:t>减少0.09万元，</w:t>
      </w:r>
      <w:r>
        <w:rPr>
          <w:rFonts w:hint="eastAsia" w:ascii="仿宋_GB2312" w:eastAsia="仿宋_GB2312"/>
          <w:sz w:val="32"/>
          <w:szCs w:val="32"/>
        </w:rPr>
        <w:t>下降20.00%,</w:t>
      </w:r>
      <w:r>
        <w:rPr>
          <w:rFonts w:hint="eastAsia" w:ascii="仿宋_GB2312" w:eastAsia="仿宋_GB2312"/>
          <w:sz w:val="32"/>
          <w:szCs w:val="32"/>
          <w:lang w:val="zh-CN"/>
        </w:rPr>
        <w:t>主要原因是：本年接待安排减少，接待人次、批次减少，接待费用减少。其中：因公出国（境）费支出0.00万元，占0.00%，比上年增加0.00万元，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主要原因是：本年无此项经费；公务用车购置及运行维护费支出0.36万元，占100.00%，比上年增加0.05万元，</w:t>
      </w:r>
      <w:r>
        <w:rPr>
          <w:rFonts w:hint="eastAsia" w:ascii="仿宋_GB2312" w:eastAsia="仿宋_GB2312"/>
          <w:sz w:val="32"/>
          <w:szCs w:val="32"/>
        </w:rPr>
        <w:t>增长16.13%,</w:t>
      </w:r>
      <w:r>
        <w:rPr>
          <w:rFonts w:hint="eastAsia" w:ascii="仿宋_GB2312" w:eastAsia="仿宋_GB2312"/>
          <w:sz w:val="32"/>
          <w:szCs w:val="32"/>
          <w:lang w:val="zh-CN"/>
        </w:rPr>
        <w:t>主要原因是：车辆老化，车辆维修维护费、燃油费较上年增加；公务接待费支出0.00万元，占0.00%，比上年减少0.14万元，</w:t>
      </w:r>
      <w:r>
        <w:rPr>
          <w:rFonts w:hint="eastAsia" w:ascii="仿宋_GB2312" w:eastAsia="仿宋_GB2312"/>
          <w:sz w:val="32"/>
          <w:szCs w:val="32"/>
        </w:rPr>
        <w:t>下降100.00%,</w:t>
      </w:r>
      <w:r>
        <w:rPr>
          <w:rFonts w:hint="eastAsia" w:ascii="仿宋_GB2312" w:eastAsia="仿宋_GB2312"/>
          <w:sz w:val="32"/>
          <w:szCs w:val="32"/>
          <w:lang w:val="zh-CN"/>
        </w:rPr>
        <w:t>主要原因是：本年接待安排减少，接待人次、批次减少，接待费用减少。</w:t>
      </w:r>
    </w:p>
    <w:p w14:paraId="32FF158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7EE93D3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因公出国（境）费支出0.00万元，开支内容包括本年无此项经费。单位全年安排的因公出国（境）团组0个，因公出国（境）0人次。</w:t>
      </w:r>
    </w:p>
    <w:p w14:paraId="54DF80FD">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公务用车购置及运行维护费0.36万元，其中：公务用车购置费0.00万元，公务用车运行维护费0.36万元。公务用车运行维护费开支内容包括</w:t>
      </w:r>
      <w:r>
        <w:rPr>
          <w:rFonts w:hint="eastAsia" w:ascii="仿宋_GB2312" w:eastAsia="仿宋_GB2312" w:cs="仿宋_GB2312"/>
          <w:kern w:val="0"/>
          <w:sz w:val="32"/>
          <w:szCs w:val="32"/>
        </w:rPr>
        <w:t>公务用车燃油费、车辆维修维护费、保险费、过路费等</w:t>
      </w:r>
      <w:r>
        <w:rPr>
          <w:rFonts w:hint="eastAsia" w:ascii="仿宋_GB2312" w:eastAsia="仿宋_GB2312"/>
          <w:sz w:val="32"/>
          <w:szCs w:val="32"/>
          <w:lang w:val="zh-CN"/>
        </w:rPr>
        <w:t>。公务用车购置数0辆，公务用车保有量1辆。国有资产占用情况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bookmarkStart w:id="18" w:name="_Hlk181961318"/>
      <w:r>
        <w:rPr>
          <w:rFonts w:hint="eastAsia" w:ascii="仿宋_GB2312" w:eastAsia="仿宋_GB2312"/>
          <w:sz w:val="32"/>
          <w:szCs w:val="32"/>
          <w:lang w:val="zh-CN"/>
        </w:rPr>
        <w:t>国有资产车辆与公务用车保有量无差异</w:t>
      </w:r>
      <w:bookmarkEnd w:id="18"/>
      <w:r>
        <w:rPr>
          <w:rFonts w:hint="eastAsia" w:ascii="仿宋_GB2312" w:eastAsia="仿宋_GB2312"/>
          <w:sz w:val="32"/>
          <w:szCs w:val="32"/>
          <w:lang w:val="zh-CN"/>
        </w:rPr>
        <w:t>。</w:t>
      </w:r>
    </w:p>
    <w:p w14:paraId="1D64415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公务接待费0.00万元，开支内容包括本年无此项经费。单位全年安排的国内公务接待0批次，0人次。</w:t>
      </w:r>
    </w:p>
    <w:p w14:paraId="2A2BF29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预算数0.36万元，决算数0.36万元，预决算差异率0.00%，主要原因是：本年严格按年初预算执行“三公”经费，预决算对比无差异。其中：因公出国（境）费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预算数0.36万元，决算数0.36万元，预决算差异率0.00%，主要原因是：本年严格按年初预算执行“三公”经费，预决算对比无差异；公务接待费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w:t>
      </w:r>
    </w:p>
    <w:p w14:paraId="7305421F">
      <w:pPr>
        <w:ind w:firstLine="640" w:firstLineChars="200"/>
        <w:jc w:val="left"/>
        <w:outlineLvl w:val="1"/>
        <w:rPr>
          <w:rFonts w:hint="eastAsia" w:ascii="黑体" w:hAnsi="黑体" w:eastAsia="黑体" w:cs="宋体"/>
          <w:bCs/>
          <w:kern w:val="0"/>
          <w:sz w:val="32"/>
          <w:szCs w:val="32"/>
        </w:rPr>
      </w:pPr>
      <w:bookmarkStart w:id="19" w:name="_Toc5810"/>
      <w:bookmarkStart w:id="20" w:name="_Toc7927"/>
      <w:r>
        <w:rPr>
          <w:rFonts w:hint="eastAsia" w:ascii="黑体" w:hAnsi="黑体" w:eastAsia="黑体" w:cs="宋体"/>
          <w:bCs/>
          <w:kern w:val="0"/>
          <w:sz w:val="32"/>
          <w:szCs w:val="32"/>
        </w:rPr>
        <w:t>八、政府性基金预算财政拨款收入支出决算情况说明</w:t>
      </w:r>
      <w:bookmarkEnd w:id="19"/>
      <w:bookmarkEnd w:id="20"/>
    </w:p>
    <w:p w14:paraId="2BC687DD">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7A56F2A3">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74A750BF">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51D1A134">
      <w:pPr>
        <w:ind w:firstLine="640" w:firstLineChars="200"/>
        <w:jc w:val="left"/>
        <w:outlineLvl w:val="1"/>
        <w:rPr>
          <w:rFonts w:hint="eastAsia" w:ascii="黑体" w:hAnsi="黑体" w:eastAsia="黑体" w:cs="宋体"/>
          <w:bCs/>
          <w:kern w:val="0"/>
          <w:sz w:val="32"/>
          <w:szCs w:val="32"/>
        </w:rPr>
      </w:pPr>
      <w:bookmarkStart w:id="21" w:name="_Toc7314"/>
      <w:bookmarkStart w:id="22" w:name="_Toc1235"/>
      <w:r>
        <w:rPr>
          <w:rFonts w:hint="eastAsia" w:ascii="黑体" w:hAnsi="黑体" w:eastAsia="黑体" w:cs="宋体"/>
          <w:bCs/>
          <w:kern w:val="0"/>
          <w:sz w:val="32"/>
          <w:szCs w:val="32"/>
        </w:rPr>
        <w:t>十、其他重要事项的情况说明</w:t>
      </w:r>
      <w:bookmarkEnd w:id="21"/>
      <w:bookmarkEnd w:id="22"/>
    </w:p>
    <w:p w14:paraId="72221E6E">
      <w:pPr>
        <w:ind w:firstLine="640" w:firstLineChars="200"/>
        <w:jc w:val="left"/>
        <w:outlineLvl w:val="2"/>
        <w:rPr>
          <w:rFonts w:hint="eastAsia" w:ascii="黑体" w:hAnsi="黑体" w:eastAsia="黑体"/>
          <w:sz w:val="32"/>
          <w:szCs w:val="32"/>
        </w:rPr>
      </w:pPr>
      <w:bookmarkStart w:id="23" w:name="_Toc14519"/>
      <w:bookmarkStart w:id="24" w:name="_Toc13105"/>
      <w:r>
        <w:rPr>
          <w:rFonts w:hint="eastAsia" w:ascii="黑体" w:hAnsi="黑体" w:eastAsia="黑体"/>
          <w:sz w:val="32"/>
          <w:szCs w:val="32"/>
        </w:rPr>
        <w:t>（一）机关运行经费支出情况</w:t>
      </w:r>
      <w:bookmarkEnd w:id="23"/>
      <w:bookmarkEnd w:id="24"/>
    </w:p>
    <w:p w14:paraId="21F65A4C">
      <w:pPr>
        <w:ind w:firstLine="640" w:firstLineChars="200"/>
        <w:jc w:val="left"/>
        <w:rPr>
          <w:rFonts w:ascii="仿宋_GB2312" w:eastAsia="仿宋_GB2312"/>
          <w:sz w:val="32"/>
          <w:szCs w:val="32"/>
        </w:rPr>
      </w:pPr>
      <w:bookmarkStart w:id="25" w:name="_Toc26704"/>
      <w:bookmarkStart w:id="26" w:name="_Toc227"/>
      <w:r>
        <w:rPr>
          <w:rFonts w:hint="eastAsia" w:ascii="仿宋_GB2312" w:eastAsia="仿宋_GB2312"/>
          <w:sz w:val="32"/>
          <w:szCs w:val="32"/>
        </w:rPr>
        <w:t>2023年度中共木垒哈萨克自治县委员会网络安全和信息化委员会办公室（行政单位和参照公务员法管理事业单位）机关运行经费支出8.63万元，比上年减少16.38万元，下降65.49%，主要原因是：</w:t>
      </w:r>
      <w:r>
        <w:rPr>
          <w:rFonts w:hint="eastAsia" w:ascii="仿宋_GB2312" w:eastAsia="仿宋_GB2312"/>
          <w:sz w:val="32"/>
          <w:szCs w:val="32"/>
          <w:lang w:val="en-US" w:eastAsia="zh-CN"/>
        </w:rPr>
        <w:t>单位本年</w:t>
      </w:r>
      <w:r>
        <w:rPr>
          <w:rFonts w:hint="eastAsia" w:ascii="仿宋_GB2312" w:eastAsia="仿宋_GB2312"/>
          <w:sz w:val="32"/>
          <w:szCs w:val="32"/>
        </w:rPr>
        <w:t>办公费、取暖费、培训费减少。</w:t>
      </w:r>
    </w:p>
    <w:p w14:paraId="02F2E4AA">
      <w:pPr>
        <w:ind w:firstLine="640" w:firstLineChars="200"/>
        <w:jc w:val="left"/>
        <w:rPr>
          <w:rFonts w:eastAsia="黑体"/>
          <w:sz w:val="32"/>
          <w:szCs w:val="30"/>
          <w:lang w:val="zh-CN"/>
        </w:rPr>
      </w:pPr>
      <w:r>
        <w:rPr>
          <w:rFonts w:hint="eastAsia" w:eastAsia="黑体"/>
          <w:sz w:val="32"/>
          <w:szCs w:val="30"/>
          <w:lang w:val="zh-CN"/>
        </w:rPr>
        <w:t>（二）政府采购情况</w:t>
      </w:r>
      <w:bookmarkEnd w:id="25"/>
      <w:bookmarkEnd w:id="26"/>
    </w:p>
    <w:p w14:paraId="3B3AF313">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2023年度政府采购支出总额12.03万元，其中：政府采购货物支出6.75万元、政府采购工程支出0.00万元、政府采购服务支出5.28万元。</w:t>
      </w:r>
    </w:p>
    <w:p w14:paraId="5F8BE4E9">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授予中小企业合同金额11.73万元，占政府采购支出总额的97.51</w:t>
      </w:r>
      <w:r>
        <w:rPr>
          <w:rFonts w:ascii="仿宋_GB2312" w:eastAsia="仿宋_GB2312"/>
          <w:sz w:val="32"/>
          <w:szCs w:val="32"/>
        </w:rPr>
        <w:t>%</w:t>
      </w:r>
      <w:r>
        <w:rPr>
          <w:rFonts w:hint="eastAsia" w:ascii="仿宋_GB2312" w:eastAsia="仿宋_GB2312"/>
          <w:sz w:val="32"/>
          <w:szCs w:val="32"/>
        </w:rPr>
        <w:t>，其中：授予小微企业合同金额11.73万元，占政府采购支出总额的97.51</w:t>
      </w:r>
      <w:r>
        <w:rPr>
          <w:rFonts w:ascii="仿宋_GB2312" w:eastAsia="仿宋_GB2312"/>
          <w:sz w:val="32"/>
          <w:szCs w:val="32"/>
        </w:rPr>
        <w:t>%</w:t>
      </w:r>
      <w:r>
        <w:rPr>
          <w:rFonts w:hint="eastAsia" w:ascii="仿宋_GB2312" w:eastAsia="仿宋_GB2312"/>
          <w:sz w:val="32"/>
          <w:szCs w:val="32"/>
        </w:rPr>
        <w:t>。</w:t>
      </w:r>
    </w:p>
    <w:p w14:paraId="14D9BAA7">
      <w:pPr>
        <w:ind w:firstLine="640" w:firstLineChars="200"/>
        <w:jc w:val="left"/>
        <w:rPr>
          <w:rFonts w:eastAsia="黑体"/>
          <w:sz w:val="32"/>
          <w:szCs w:val="30"/>
          <w:lang w:val="zh-CN"/>
        </w:rPr>
      </w:pPr>
      <w:bookmarkStart w:id="27" w:name="_Toc8391"/>
      <w:bookmarkStart w:id="28" w:name="_Toc4591"/>
      <w:r>
        <w:rPr>
          <w:rFonts w:hint="eastAsia" w:eastAsia="黑体"/>
          <w:sz w:val="32"/>
          <w:szCs w:val="30"/>
          <w:lang w:val="zh-CN"/>
        </w:rPr>
        <w:t>（三）国有资产占用情况说明</w:t>
      </w:r>
      <w:bookmarkEnd w:id="27"/>
      <w:bookmarkEnd w:id="28"/>
    </w:p>
    <w:p w14:paraId="7FDA63BE">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截至2023年12月31日，固定资产原值104.07万元，房屋0.0</w:t>
      </w:r>
      <w:r>
        <w:rPr>
          <w:rFonts w:ascii="仿宋_GB2312" w:eastAsia="仿宋_GB2312"/>
          <w:sz w:val="32"/>
          <w:szCs w:val="32"/>
        </w:rPr>
        <w:t>0</w:t>
      </w:r>
      <w:r>
        <w:rPr>
          <w:rFonts w:hint="eastAsia" w:ascii="仿宋_GB2312" w:eastAsia="仿宋_GB2312"/>
          <w:sz w:val="32"/>
          <w:szCs w:val="32"/>
        </w:rPr>
        <w:t>平方米，价值0.00万元。车辆1辆，价值12.67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7831705F">
      <w:pPr>
        <w:ind w:firstLine="640" w:firstLineChars="200"/>
        <w:jc w:val="left"/>
        <w:outlineLvl w:val="1"/>
        <w:rPr>
          <w:rFonts w:hint="eastAsia" w:ascii="黑体" w:hAnsi="黑体" w:eastAsia="黑体" w:cs="宋体"/>
          <w:bCs/>
          <w:kern w:val="0"/>
          <w:sz w:val="32"/>
          <w:szCs w:val="32"/>
        </w:rPr>
      </w:pPr>
      <w:bookmarkStart w:id="29" w:name="_Toc435"/>
      <w:bookmarkStart w:id="30" w:name="_Toc11283"/>
      <w:r>
        <w:rPr>
          <w:rFonts w:hint="eastAsia" w:ascii="黑体" w:hAnsi="黑体" w:eastAsia="黑体" w:cs="宋体"/>
          <w:bCs/>
          <w:kern w:val="0"/>
          <w:sz w:val="32"/>
          <w:szCs w:val="32"/>
        </w:rPr>
        <w:t>十一、预算绩效的情况说明</w:t>
      </w:r>
      <w:bookmarkEnd w:id="29"/>
      <w:bookmarkEnd w:id="30"/>
    </w:p>
    <w:p w14:paraId="1BB0F290">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预算总额265.7</w:t>
      </w:r>
      <w:r>
        <w:rPr>
          <w:rFonts w:ascii="仿宋_GB2312" w:eastAsia="仿宋_GB2312"/>
          <w:sz w:val="32"/>
          <w:szCs w:val="32"/>
        </w:rPr>
        <w:t>0</w:t>
      </w:r>
      <w:r>
        <w:rPr>
          <w:rFonts w:hint="eastAsia" w:ascii="仿宋_GB2312" w:eastAsia="仿宋_GB2312"/>
          <w:sz w:val="32"/>
          <w:szCs w:val="32"/>
        </w:rPr>
        <w:t>万元，实际执行总额265.7</w:t>
      </w:r>
      <w:r>
        <w:rPr>
          <w:rFonts w:ascii="仿宋_GB2312" w:eastAsia="仿宋_GB2312"/>
          <w:sz w:val="32"/>
          <w:szCs w:val="32"/>
        </w:rPr>
        <w:t>0</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预算绩效评价项目1个，全年预算数1</w:t>
      </w:r>
      <w:r>
        <w:rPr>
          <w:rFonts w:ascii="仿宋_GB2312" w:eastAsia="仿宋_GB2312"/>
          <w:sz w:val="32"/>
          <w:szCs w:val="32"/>
        </w:rPr>
        <w:t>5.00</w:t>
      </w:r>
      <w:r>
        <w:rPr>
          <w:rFonts w:hint="eastAsia" w:ascii="仿宋_GB2312" w:eastAsia="仿宋_GB2312"/>
          <w:sz w:val="32"/>
          <w:szCs w:val="32"/>
        </w:rPr>
        <w:t>万元，全年执行数1</w:t>
      </w:r>
      <w:r>
        <w:rPr>
          <w:rFonts w:ascii="仿宋_GB2312" w:eastAsia="仿宋_GB2312"/>
          <w:sz w:val="32"/>
          <w:szCs w:val="32"/>
        </w:rPr>
        <w:t>5.00</w:t>
      </w:r>
      <w:r>
        <w:rPr>
          <w:rFonts w:hint="eastAsia" w:ascii="仿宋_GB2312" w:eastAsia="仿宋_GB2312"/>
          <w:sz w:val="32"/>
          <w:szCs w:val="32"/>
        </w:rPr>
        <w:t>万元。预算绩效管理取得的成效：</w:t>
      </w:r>
      <w:r>
        <w:rPr>
          <w:rFonts w:hint="eastAsia" w:ascii="仿宋_GB2312" w:eastAsia="仿宋_GB2312"/>
          <w:sz w:val="32"/>
          <w:szCs w:val="32"/>
          <w:lang w:val="en-US" w:eastAsia="zh-CN"/>
        </w:rPr>
        <w:t>我单位本年预算绩效项目自评表不予公开</w:t>
      </w:r>
      <w:r>
        <w:rPr>
          <w:rFonts w:hint="eastAsia" w:ascii="仿宋_GB2312" w:eastAsia="仿宋_GB2312"/>
          <w:sz w:val="32"/>
          <w:szCs w:val="32"/>
        </w:rPr>
        <w:t>。发现的问题及原因：</w:t>
      </w:r>
      <w:r>
        <w:rPr>
          <w:rFonts w:hint="eastAsia" w:ascii="仿宋_GB2312" w:eastAsia="仿宋_GB2312"/>
          <w:sz w:val="32"/>
          <w:szCs w:val="32"/>
          <w:lang w:val="en-US" w:eastAsia="zh-CN"/>
        </w:rPr>
        <w:t>我单位本年预算绩效项目自评表不予公开</w:t>
      </w:r>
      <w:r>
        <w:rPr>
          <w:rFonts w:hint="eastAsia" w:ascii="仿宋_GB2312" w:eastAsia="仿宋_GB2312"/>
          <w:sz w:val="32"/>
          <w:szCs w:val="32"/>
        </w:rPr>
        <w:t>。下一步改进措施：</w:t>
      </w:r>
      <w:r>
        <w:rPr>
          <w:rFonts w:hint="eastAsia" w:ascii="仿宋_GB2312" w:eastAsia="仿宋_GB2312"/>
          <w:sz w:val="32"/>
          <w:szCs w:val="32"/>
          <w:lang w:val="en-US" w:eastAsia="zh-CN"/>
        </w:rPr>
        <w:t>我单位本年预算绩效项目自评表不予公开</w:t>
      </w:r>
      <w:r>
        <w:rPr>
          <w:rFonts w:hint="eastAsia" w:ascii="仿宋_GB2312" w:eastAsia="仿宋_GB2312"/>
          <w:sz w:val="32"/>
          <w:szCs w:val="32"/>
        </w:rPr>
        <w:t>。</w:t>
      </w:r>
    </w:p>
    <w:tbl>
      <w:tblPr>
        <w:tblStyle w:val="9"/>
        <w:tblW w:w="5000" w:type="pct"/>
        <w:jc w:val="center"/>
        <w:tblLayout w:type="fixed"/>
        <w:tblCellMar>
          <w:top w:w="0" w:type="dxa"/>
          <w:left w:w="108" w:type="dxa"/>
          <w:bottom w:w="0" w:type="dxa"/>
          <w:right w:w="108" w:type="dxa"/>
        </w:tblCellMar>
      </w:tblPr>
      <w:tblGrid>
        <w:gridCol w:w="993"/>
        <w:gridCol w:w="853"/>
        <w:gridCol w:w="151"/>
        <w:gridCol w:w="969"/>
        <w:gridCol w:w="136"/>
        <w:gridCol w:w="665"/>
        <w:gridCol w:w="215"/>
        <w:gridCol w:w="768"/>
        <w:gridCol w:w="295"/>
        <w:gridCol w:w="1516"/>
        <w:gridCol w:w="515"/>
        <w:gridCol w:w="170"/>
        <w:gridCol w:w="618"/>
        <w:gridCol w:w="658"/>
      </w:tblGrid>
      <w:tr w14:paraId="7B81A6E6">
        <w:tblPrEx>
          <w:tblCellMar>
            <w:top w:w="0" w:type="dxa"/>
            <w:left w:w="108" w:type="dxa"/>
            <w:bottom w:w="0" w:type="dxa"/>
            <w:right w:w="108" w:type="dxa"/>
          </w:tblCellMar>
        </w:tblPrEx>
        <w:trPr>
          <w:trHeight w:val="634" w:hRule="atLeast"/>
          <w:jc w:val="center"/>
        </w:trPr>
        <w:tc>
          <w:tcPr>
            <w:tcW w:w="8522" w:type="dxa"/>
            <w:gridSpan w:val="1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63023">
            <w:pPr>
              <w:ind w:firstLine="640" w:firstLineChars="200"/>
              <w:jc w:val="center"/>
              <w:rPr>
                <w:rFonts w:hint="eastAsia" w:cs="宋体" w:asciiTheme="minorEastAsia" w:hAnsiTheme="minorEastAsia" w:eastAsiaTheme="minorEastAsia"/>
                <w:bCs/>
                <w:color w:val="000000"/>
                <w:sz w:val="20"/>
                <w:szCs w:val="20"/>
              </w:rPr>
            </w:pPr>
            <w:r>
              <w:rPr>
                <w:rFonts w:hint="eastAsia" w:ascii="宋体" w:hAnsi="宋体" w:cs="宋体"/>
                <w:b w:val="0"/>
                <w:bCs w:val="0"/>
                <w:color w:val="000000"/>
                <w:kern w:val="0"/>
                <w:sz w:val="32"/>
                <w:szCs w:val="32"/>
              </w:rPr>
              <w:t>部门（单位）整体支出绩效目标自评表</w:t>
            </w:r>
          </w:p>
        </w:tc>
      </w:tr>
      <w:tr w14:paraId="0DB1202A">
        <w:tblPrEx>
          <w:tblCellMar>
            <w:top w:w="0" w:type="dxa"/>
            <w:left w:w="108" w:type="dxa"/>
            <w:bottom w:w="0" w:type="dxa"/>
            <w:right w:w="108" w:type="dxa"/>
          </w:tblCellMar>
        </w:tblPrEx>
        <w:trPr>
          <w:trHeight w:val="360" w:hRule="atLeast"/>
          <w:jc w:val="center"/>
        </w:trPr>
        <w:tc>
          <w:tcPr>
            <w:tcW w:w="8522" w:type="dxa"/>
            <w:gridSpan w:val="1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CACE2">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（2023年度）</w:t>
            </w:r>
          </w:p>
        </w:tc>
      </w:tr>
      <w:tr w14:paraId="4027D1C7">
        <w:tblPrEx>
          <w:tblCellMar>
            <w:top w:w="0" w:type="dxa"/>
            <w:left w:w="108" w:type="dxa"/>
            <w:bottom w:w="0" w:type="dxa"/>
            <w:right w:w="108" w:type="dxa"/>
          </w:tblCellMar>
        </w:tblPrEx>
        <w:trPr>
          <w:trHeight w:val="660" w:hRule="atLeast"/>
          <w:jc w:val="center"/>
        </w:trPr>
        <w:tc>
          <w:tcPr>
            <w:tcW w:w="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B985D">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部门（单位）名称</w:t>
            </w:r>
          </w:p>
        </w:tc>
        <w:tc>
          <w:tcPr>
            <w:tcW w:w="7529" w:type="dxa"/>
            <w:gridSpan w:val="1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10EF7">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中共木垒哈萨克自治县网络安全和信息化工作委员会办公室</w:t>
            </w:r>
          </w:p>
        </w:tc>
      </w:tr>
      <w:tr w14:paraId="27ADFED7">
        <w:tblPrEx>
          <w:tblCellMar>
            <w:top w:w="0" w:type="dxa"/>
            <w:left w:w="108" w:type="dxa"/>
            <w:bottom w:w="0" w:type="dxa"/>
            <w:right w:w="108" w:type="dxa"/>
          </w:tblCellMar>
        </w:tblPrEx>
        <w:trPr>
          <w:trHeight w:val="570" w:hRule="atLeast"/>
          <w:jc w:val="center"/>
        </w:trPr>
        <w:tc>
          <w:tcPr>
            <w:tcW w:w="9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A79409">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部门资金（万元）</w:t>
            </w:r>
          </w:p>
        </w:tc>
        <w:tc>
          <w:tcPr>
            <w:tcW w:w="10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E707D2">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资金来源</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3C202">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年初预算数</w:t>
            </w:r>
          </w:p>
        </w:tc>
        <w:tc>
          <w:tcPr>
            <w:tcW w:w="10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1D67B7A">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全年预算数</w:t>
            </w:r>
          </w:p>
        </w:tc>
        <w:tc>
          <w:tcPr>
            <w:tcW w:w="10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4BE35E">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全年执行数</w:t>
            </w: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E6423">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分值权重</w:t>
            </w:r>
          </w:p>
        </w:tc>
        <w:tc>
          <w:tcPr>
            <w:tcW w:w="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348E80">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执行率</w:t>
            </w:r>
          </w:p>
        </w:tc>
        <w:tc>
          <w:tcPr>
            <w:tcW w:w="12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4B7AAC">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得分</w:t>
            </w:r>
          </w:p>
        </w:tc>
      </w:tr>
      <w:tr w14:paraId="5D225298">
        <w:tblPrEx>
          <w:tblCellMar>
            <w:top w:w="0" w:type="dxa"/>
            <w:left w:w="108" w:type="dxa"/>
            <w:bottom w:w="0" w:type="dxa"/>
            <w:right w:w="108" w:type="dxa"/>
          </w:tblCellMar>
        </w:tblPrEx>
        <w:trPr>
          <w:trHeight w:val="397" w:hRule="atLeast"/>
          <w:jc w:val="center"/>
        </w:trPr>
        <w:tc>
          <w:tcPr>
            <w:tcW w:w="9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16363A">
            <w:pPr>
              <w:jc w:val="center"/>
              <w:rPr>
                <w:rFonts w:hint="eastAsia" w:cs="宋体" w:asciiTheme="minorEastAsia" w:hAnsiTheme="minorEastAsia" w:eastAsiaTheme="minorEastAsia"/>
                <w:bCs/>
                <w:color w:val="000000"/>
                <w:sz w:val="20"/>
                <w:szCs w:val="20"/>
              </w:rPr>
            </w:pPr>
          </w:p>
        </w:tc>
        <w:tc>
          <w:tcPr>
            <w:tcW w:w="10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B2AC8">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中央安排</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52115">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0</w:t>
            </w:r>
            <w:r>
              <w:rPr>
                <w:rFonts w:cs="宋体" w:asciiTheme="minorEastAsia" w:hAnsiTheme="minorEastAsia" w:eastAsiaTheme="minorEastAsia"/>
                <w:bCs/>
                <w:color w:val="000000"/>
                <w:kern w:val="0"/>
                <w:sz w:val="20"/>
                <w:szCs w:val="20"/>
                <w:lang w:bidi="ar"/>
              </w:rPr>
              <w:t>.00</w:t>
            </w:r>
          </w:p>
        </w:tc>
        <w:tc>
          <w:tcPr>
            <w:tcW w:w="10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0A30816">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0</w:t>
            </w:r>
            <w:r>
              <w:rPr>
                <w:rFonts w:cs="宋体" w:asciiTheme="minorEastAsia" w:hAnsiTheme="minorEastAsia" w:eastAsiaTheme="minorEastAsia"/>
                <w:bCs/>
                <w:color w:val="000000"/>
                <w:kern w:val="0"/>
                <w:sz w:val="20"/>
                <w:szCs w:val="20"/>
                <w:lang w:bidi="ar"/>
              </w:rPr>
              <w:t>.00</w:t>
            </w:r>
          </w:p>
        </w:tc>
        <w:tc>
          <w:tcPr>
            <w:tcW w:w="10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79E538">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0</w:t>
            </w:r>
            <w:r>
              <w:rPr>
                <w:rFonts w:cs="宋体" w:asciiTheme="minorEastAsia" w:hAnsiTheme="minorEastAsia" w:eastAsiaTheme="minorEastAsia"/>
                <w:bCs/>
                <w:color w:val="000000"/>
                <w:kern w:val="0"/>
                <w:sz w:val="20"/>
                <w:szCs w:val="20"/>
                <w:lang w:bidi="ar"/>
              </w:rPr>
              <w:t>.00</w:t>
            </w: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B7C25">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10</w:t>
            </w:r>
          </w:p>
        </w:tc>
        <w:tc>
          <w:tcPr>
            <w:tcW w:w="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B67960">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100%</w:t>
            </w:r>
          </w:p>
        </w:tc>
        <w:tc>
          <w:tcPr>
            <w:tcW w:w="12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5B1ADC">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10</w:t>
            </w:r>
          </w:p>
        </w:tc>
      </w:tr>
      <w:tr w14:paraId="69573064">
        <w:tblPrEx>
          <w:tblCellMar>
            <w:top w:w="0" w:type="dxa"/>
            <w:left w:w="108" w:type="dxa"/>
            <w:bottom w:w="0" w:type="dxa"/>
            <w:right w:w="108" w:type="dxa"/>
          </w:tblCellMar>
        </w:tblPrEx>
        <w:trPr>
          <w:trHeight w:val="397" w:hRule="atLeast"/>
          <w:jc w:val="center"/>
        </w:trPr>
        <w:tc>
          <w:tcPr>
            <w:tcW w:w="9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C787E9">
            <w:pPr>
              <w:jc w:val="center"/>
              <w:rPr>
                <w:rFonts w:hint="eastAsia" w:cs="宋体" w:asciiTheme="minorEastAsia" w:hAnsiTheme="minorEastAsia" w:eastAsiaTheme="minorEastAsia"/>
                <w:bCs/>
                <w:color w:val="000000"/>
                <w:sz w:val="20"/>
                <w:szCs w:val="20"/>
              </w:rPr>
            </w:pPr>
          </w:p>
        </w:tc>
        <w:tc>
          <w:tcPr>
            <w:tcW w:w="10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B59E54">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自治区安排</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7EE8E">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0</w:t>
            </w:r>
            <w:r>
              <w:rPr>
                <w:rFonts w:cs="宋体" w:asciiTheme="minorEastAsia" w:hAnsiTheme="minorEastAsia" w:eastAsiaTheme="minorEastAsia"/>
                <w:bCs/>
                <w:color w:val="000000"/>
                <w:kern w:val="0"/>
                <w:sz w:val="20"/>
                <w:szCs w:val="20"/>
                <w:lang w:bidi="ar"/>
              </w:rPr>
              <w:t>.00</w:t>
            </w:r>
          </w:p>
        </w:tc>
        <w:tc>
          <w:tcPr>
            <w:tcW w:w="10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4D7A8F6">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0</w:t>
            </w:r>
            <w:r>
              <w:rPr>
                <w:rFonts w:cs="宋体" w:asciiTheme="minorEastAsia" w:hAnsiTheme="minorEastAsia" w:eastAsiaTheme="minorEastAsia"/>
                <w:bCs/>
                <w:color w:val="000000"/>
                <w:kern w:val="0"/>
                <w:sz w:val="20"/>
                <w:szCs w:val="20"/>
                <w:lang w:bidi="ar"/>
              </w:rPr>
              <w:t>.00</w:t>
            </w:r>
          </w:p>
        </w:tc>
        <w:tc>
          <w:tcPr>
            <w:tcW w:w="10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79A415">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0</w:t>
            </w:r>
            <w:r>
              <w:rPr>
                <w:rFonts w:cs="宋体" w:asciiTheme="minorEastAsia" w:hAnsiTheme="minorEastAsia" w:eastAsiaTheme="minorEastAsia"/>
                <w:bCs/>
                <w:color w:val="000000"/>
                <w:kern w:val="0"/>
                <w:sz w:val="20"/>
                <w:szCs w:val="20"/>
                <w:lang w:bidi="ar"/>
              </w:rPr>
              <w:t>.00</w:t>
            </w: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894BD">
            <w:pPr>
              <w:widowControl/>
              <w:tabs>
                <w:tab w:val="left" w:pos="1680"/>
              </w:tabs>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8F1212">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12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B4F63B">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r>
      <w:tr w14:paraId="4D2FC8E0">
        <w:tblPrEx>
          <w:tblCellMar>
            <w:top w:w="0" w:type="dxa"/>
            <w:left w:w="108" w:type="dxa"/>
            <w:bottom w:w="0" w:type="dxa"/>
            <w:right w:w="108" w:type="dxa"/>
          </w:tblCellMar>
        </w:tblPrEx>
        <w:trPr>
          <w:trHeight w:val="386" w:hRule="atLeast"/>
          <w:jc w:val="center"/>
        </w:trPr>
        <w:tc>
          <w:tcPr>
            <w:tcW w:w="9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E84904">
            <w:pPr>
              <w:jc w:val="center"/>
              <w:rPr>
                <w:rFonts w:hint="eastAsia" w:cs="宋体" w:asciiTheme="minorEastAsia" w:hAnsiTheme="minorEastAsia" w:eastAsiaTheme="minorEastAsia"/>
                <w:bCs/>
                <w:color w:val="000000"/>
                <w:sz w:val="20"/>
                <w:szCs w:val="20"/>
              </w:rPr>
            </w:pPr>
          </w:p>
        </w:tc>
        <w:tc>
          <w:tcPr>
            <w:tcW w:w="10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45EC60">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地（州、市）安排</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A1B7B">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0</w:t>
            </w:r>
            <w:r>
              <w:rPr>
                <w:rFonts w:cs="宋体" w:asciiTheme="minorEastAsia" w:hAnsiTheme="minorEastAsia" w:eastAsiaTheme="minorEastAsia"/>
                <w:bCs/>
                <w:color w:val="000000"/>
                <w:kern w:val="0"/>
                <w:sz w:val="20"/>
                <w:szCs w:val="20"/>
                <w:lang w:bidi="ar"/>
              </w:rPr>
              <w:t>.00</w:t>
            </w:r>
          </w:p>
        </w:tc>
        <w:tc>
          <w:tcPr>
            <w:tcW w:w="10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84D1A39">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0</w:t>
            </w:r>
            <w:r>
              <w:rPr>
                <w:rFonts w:cs="宋体" w:asciiTheme="minorEastAsia" w:hAnsiTheme="minorEastAsia" w:eastAsiaTheme="minorEastAsia"/>
                <w:bCs/>
                <w:color w:val="000000"/>
                <w:kern w:val="0"/>
                <w:sz w:val="20"/>
                <w:szCs w:val="20"/>
                <w:lang w:bidi="ar"/>
              </w:rPr>
              <w:t>.00</w:t>
            </w:r>
          </w:p>
        </w:tc>
        <w:tc>
          <w:tcPr>
            <w:tcW w:w="10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F3BCB3">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0</w:t>
            </w:r>
            <w:r>
              <w:rPr>
                <w:rFonts w:cs="宋体" w:asciiTheme="minorEastAsia" w:hAnsiTheme="minorEastAsia" w:eastAsiaTheme="minorEastAsia"/>
                <w:bCs/>
                <w:color w:val="000000"/>
                <w:kern w:val="0"/>
                <w:sz w:val="20"/>
                <w:szCs w:val="20"/>
                <w:lang w:bidi="ar"/>
              </w:rPr>
              <w:t>.00</w:t>
            </w: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AD727">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3CA885">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12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19C1E2">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r>
      <w:tr w14:paraId="0ACEE817">
        <w:tblPrEx>
          <w:tblCellMar>
            <w:top w:w="0" w:type="dxa"/>
            <w:left w:w="108" w:type="dxa"/>
            <w:bottom w:w="0" w:type="dxa"/>
            <w:right w:w="108" w:type="dxa"/>
          </w:tblCellMar>
        </w:tblPrEx>
        <w:trPr>
          <w:trHeight w:val="506" w:hRule="atLeast"/>
          <w:jc w:val="center"/>
        </w:trPr>
        <w:tc>
          <w:tcPr>
            <w:tcW w:w="9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3A280B">
            <w:pPr>
              <w:jc w:val="center"/>
              <w:rPr>
                <w:rFonts w:hint="eastAsia" w:cs="宋体" w:asciiTheme="minorEastAsia" w:hAnsiTheme="minorEastAsia" w:eastAsiaTheme="minorEastAsia"/>
                <w:bCs/>
                <w:color w:val="000000"/>
                <w:sz w:val="20"/>
                <w:szCs w:val="20"/>
              </w:rPr>
            </w:pPr>
          </w:p>
        </w:tc>
        <w:tc>
          <w:tcPr>
            <w:tcW w:w="10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1F12B2">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县（市、区）安排</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D3BA9">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235.58</w:t>
            </w:r>
          </w:p>
        </w:tc>
        <w:tc>
          <w:tcPr>
            <w:tcW w:w="10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686AC1E">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265.7</w:t>
            </w:r>
            <w:r>
              <w:rPr>
                <w:rFonts w:cs="宋体" w:asciiTheme="minorEastAsia" w:hAnsiTheme="minorEastAsia" w:eastAsiaTheme="minorEastAsia"/>
                <w:bCs/>
                <w:color w:val="000000"/>
                <w:kern w:val="0"/>
                <w:sz w:val="20"/>
                <w:szCs w:val="20"/>
                <w:lang w:bidi="ar"/>
              </w:rPr>
              <w:t>0</w:t>
            </w:r>
          </w:p>
        </w:tc>
        <w:tc>
          <w:tcPr>
            <w:tcW w:w="10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85E020">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265.7</w:t>
            </w:r>
            <w:r>
              <w:rPr>
                <w:rFonts w:cs="宋体" w:asciiTheme="minorEastAsia" w:hAnsiTheme="minorEastAsia" w:eastAsiaTheme="minorEastAsia"/>
                <w:bCs/>
                <w:color w:val="000000"/>
                <w:kern w:val="0"/>
                <w:sz w:val="20"/>
                <w:szCs w:val="20"/>
                <w:lang w:bidi="ar"/>
              </w:rPr>
              <w:t>0</w:t>
            </w: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414AD">
            <w:pPr>
              <w:jc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C9FDA6">
            <w:pPr>
              <w:jc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12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14AA1D">
            <w:pPr>
              <w:jc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r>
      <w:tr w14:paraId="73DEF358">
        <w:tblPrEx>
          <w:tblCellMar>
            <w:top w:w="0" w:type="dxa"/>
            <w:left w:w="108" w:type="dxa"/>
            <w:bottom w:w="0" w:type="dxa"/>
            <w:right w:w="108" w:type="dxa"/>
          </w:tblCellMar>
        </w:tblPrEx>
        <w:trPr>
          <w:trHeight w:val="397" w:hRule="atLeast"/>
          <w:jc w:val="center"/>
        </w:trPr>
        <w:tc>
          <w:tcPr>
            <w:tcW w:w="9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AA6DC2">
            <w:pPr>
              <w:jc w:val="center"/>
              <w:rPr>
                <w:rFonts w:hint="eastAsia" w:cs="宋体" w:asciiTheme="minorEastAsia" w:hAnsiTheme="minorEastAsia" w:eastAsiaTheme="minorEastAsia"/>
                <w:bCs/>
                <w:color w:val="000000"/>
                <w:sz w:val="20"/>
                <w:szCs w:val="20"/>
              </w:rPr>
            </w:pPr>
          </w:p>
        </w:tc>
        <w:tc>
          <w:tcPr>
            <w:tcW w:w="10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41762F">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其他资金</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FA03A">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0</w:t>
            </w:r>
            <w:r>
              <w:rPr>
                <w:rFonts w:cs="宋体" w:asciiTheme="minorEastAsia" w:hAnsiTheme="minorEastAsia" w:eastAsiaTheme="minorEastAsia"/>
                <w:bCs/>
                <w:color w:val="000000"/>
                <w:kern w:val="0"/>
                <w:sz w:val="20"/>
                <w:szCs w:val="20"/>
                <w:lang w:bidi="ar"/>
              </w:rPr>
              <w:t>.00</w:t>
            </w:r>
          </w:p>
        </w:tc>
        <w:tc>
          <w:tcPr>
            <w:tcW w:w="10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492788F">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0</w:t>
            </w:r>
            <w:r>
              <w:rPr>
                <w:rFonts w:cs="宋体" w:asciiTheme="minorEastAsia" w:hAnsiTheme="minorEastAsia" w:eastAsiaTheme="minorEastAsia"/>
                <w:bCs/>
                <w:color w:val="000000"/>
                <w:kern w:val="0"/>
                <w:sz w:val="20"/>
                <w:szCs w:val="20"/>
                <w:lang w:bidi="ar"/>
              </w:rPr>
              <w:t>.00</w:t>
            </w:r>
          </w:p>
        </w:tc>
        <w:tc>
          <w:tcPr>
            <w:tcW w:w="10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27D538">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0</w:t>
            </w:r>
            <w:r>
              <w:rPr>
                <w:rFonts w:cs="宋体" w:asciiTheme="minorEastAsia" w:hAnsiTheme="minorEastAsia" w:eastAsiaTheme="minorEastAsia"/>
                <w:bCs/>
                <w:color w:val="000000"/>
                <w:kern w:val="0"/>
                <w:sz w:val="20"/>
                <w:szCs w:val="20"/>
                <w:lang w:bidi="ar"/>
              </w:rPr>
              <w:t>.00</w:t>
            </w: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BCC49">
            <w:pPr>
              <w:jc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4911F8">
            <w:pPr>
              <w:jc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12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431DE6">
            <w:pPr>
              <w:jc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r>
      <w:tr w14:paraId="2EAA974E">
        <w:tblPrEx>
          <w:tblCellMar>
            <w:top w:w="0" w:type="dxa"/>
            <w:left w:w="108" w:type="dxa"/>
            <w:bottom w:w="0" w:type="dxa"/>
            <w:right w:w="108" w:type="dxa"/>
          </w:tblCellMar>
        </w:tblPrEx>
        <w:trPr>
          <w:trHeight w:val="397" w:hRule="atLeast"/>
          <w:jc w:val="center"/>
        </w:trPr>
        <w:tc>
          <w:tcPr>
            <w:tcW w:w="9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2A5B4C">
            <w:pPr>
              <w:jc w:val="center"/>
              <w:rPr>
                <w:rFonts w:hint="eastAsia" w:cs="宋体" w:asciiTheme="minorEastAsia" w:hAnsiTheme="minorEastAsia" w:eastAsiaTheme="minorEastAsia"/>
                <w:bCs/>
                <w:color w:val="000000"/>
                <w:sz w:val="20"/>
                <w:szCs w:val="20"/>
              </w:rPr>
            </w:pPr>
          </w:p>
        </w:tc>
        <w:tc>
          <w:tcPr>
            <w:tcW w:w="10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FD54D7">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合计</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C9AF7">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235.58</w:t>
            </w:r>
          </w:p>
        </w:tc>
        <w:tc>
          <w:tcPr>
            <w:tcW w:w="10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7C1CDEB">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265.7</w:t>
            </w:r>
            <w:r>
              <w:rPr>
                <w:rFonts w:cs="宋体" w:asciiTheme="minorEastAsia" w:hAnsiTheme="minorEastAsia" w:eastAsiaTheme="minorEastAsia"/>
                <w:bCs/>
                <w:color w:val="000000"/>
                <w:kern w:val="0"/>
                <w:sz w:val="20"/>
                <w:szCs w:val="20"/>
                <w:lang w:bidi="ar"/>
              </w:rPr>
              <w:t>0</w:t>
            </w:r>
          </w:p>
        </w:tc>
        <w:tc>
          <w:tcPr>
            <w:tcW w:w="10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05A88F">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265.7</w:t>
            </w:r>
            <w:r>
              <w:rPr>
                <w:rFonts w:cs="宋体" w:asciiTheme="minorEastAsia" w:hAnsiTheme="minorEastAsia" w:eastAsiaTheme="minorEastAsia"/>
                <w:bCs/>
                <w:color w:val="000000"/>
                <w:kern w:val="0"/>
                <w:sz w:val="20"/>
                <w:szCs w:val="20"/>
                <w:lang w:bidi="ar"/>
              </w:rPr>
              <w:t>0</w:t>
            </w: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036EA">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E774FD">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12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8000C7">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r>
      <w:tr w14:paraId="7782A3DF">
        <w:tblPrEx>
          <w:tblCellMar>
            <w:top w:w="0" w:type="dxa"/>
            <w:left w:w="108" w:type="dxa"/>
            <w:bottom w:w="0" w:type="dxa"/>
            <w:right w:w="108" w:type="dxa"/>
          </w:tblCellMar>
        </w:tblPrEx>
        <w:trPr>
          <w:trHeight w:val="291" w:hRule="atLeast"/>
          <w:jc w:val="center"/>
        </w:trPr>
        <w:tc>
          <w:tcPr>
            <w:tcW w:w="9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7B49F9">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年度总体目标</w:t>
            </w:r>
          </w:p>
        </w:tc>
        <w:tc>
          <w:tcPr>
            <w:tcW w:w="3757"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1CFF7">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预期目标</w:t>
            </w:r>
          </w:p>
        </w:tc>
        <w:tc>
          <w:tcPr>
            <w:tcW w:w="3772"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40FE4">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实际完成情况</w:t>
            </w:r>
          </w:p>
        </w:tc>
      </w:tr>
      <w:tr w14:paraId="3B20E41B">
        <w:tblPrEx>
          <w:tblCellMar>
            <w:top w:w="0" w:type="dxa"/>
            <w:left w:w="108" w:type="dxa"/>
            <w:bottom w:w="0" w:type="dxa"/>
            <w:right w:w="108" w:type="dxa"/>
          </w:tblCellMar>
        </w:tblPrEx>
        <w:trPr>
          <w:trHeight w:val="1695" w:hRule="atLeast"/>
          <w:jc w:val="center"/>
        </w:trPr>
        <w:tc>
          <w:tcPr>
            <w:tcW w:w="9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D5A090">
            <w:pPr>
              <w:jc w:val="center"/>
              <w:rPr>
                <w:rFonts w:hint="eastAsia" w:cs="宋体" w:asciiTheme="minorEastAsia" w:hAnsiTheme="minorEastAsia" w:eastAsiaTheme="minorEastAsia"/>
                <w:bCs/>
                <w:color w:val="000000"/>
                <w:sz w:val="20"/>
                <w:szCs w:val="20"/>
              </w:rPr>
            </w:pPr>
          </w:p>
        </w:tc>
        <w:tc>
          <w:tcPr>
            <w:tcW w:w="375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37DAC93">
            <w:pPr>
              <w:widowControl/>
              <w:spacing w:line="240" w:lineRule="exact"/>
              <w:jc w:val="left"/>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2023年开展网络和信息化体系建设，持续提高属地网络安全运行水平，开展网络安全相关业务培训4次，全县网络安全宣传4次，网评抽查数量500份，确保属地网站及关键信息基础设施正常运行率≥95%，属地网络空间清朗率≥95%，网民满意度≥90%，保障网络安全和信息化工作正常开展，木垒县属地网络安全运行。</w:t>
            </w:r>
          </w:p>
        </w:tc>
        <w:tc>
          <w:tcPr>
            <w:tcW w:w="377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7524B55">
            <w:pPr>
              <w:widowControl/>
              <w:spacing w:line="240" w:lineRule="exact"/>
              <w:jc w:val="left"/>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截止部门整体自评，我单位已完成如下工作：2023年开展网络和信息化体系建设，持续提高属地网络安全运行水平，开展网络安全相关业务培训4次，全县网络安全宣传4次，网评抽查数量500份，确保属地网站及关键信息基础设施正常运行率95%，属地网络空间清朗率95%，网民满意度90%，保障网络安全和信息化工作正常开展，木垒县属地网络安全运行。</w:t>
            </w:r>
          </w:p>
        </w:tc>
      </w:tr>
      <w:tr w14:paraId="396EDEE2">
        <w:tblPrEx>
          <w:tblCellMar>
            <w:top w:w="0" w:type="dxa"/>
            <w:left w:w="108" w:type="dxa"/>
            <w:bottom w:w="0" w:type="dxa"/>
            <w:right w:w="108" w:type="dxa"/>
          </w:tblCellMar>
        </w:tblPrEx>
        <w:trPr>
          <w:trHeight w:val="493" w:hRule="atLeast"/>
          <w:jc w:val="center"/>
        </w:trPr>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BACAF">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一级指标</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C9D5A">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二级指标</w:t>
            </w:r>
          </w:p>
        </w:tc>
        <w:tc>
          <w:tcPr>
            <w:tcW w:w="12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4AD4F33">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三级指标</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438A2">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预期指标值</w:t>
            </w:r>
          </w:p>
        </w:tc>
        <w:tc>
          <w:tcPr>
            <w:tcW w:w="27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DBD8846">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指标值设定依据</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1D513">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分值权重</w:t>
            </w:r>
          </w:p>
        </w:tc>
        <w:tc>
          <w:tcPr>
            <w:tcW w:w="7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F80640">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实际完成指标值</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4C8F9">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得分</w:t>
            </w:r>
          </w:p>
        </w:tc>
      </w:tr>
      <w:tr w14:paraId="432154CB">
        <w:tblPrEx>
          <w:tblCellMar>
            <w:top w:w="0" w:type="dxa"/>
            <w:left w:w="108" w:type="dxa"/>
            <w:bottom w:w="0" w:type="dxa"/>
            <w:right w:w="108" w:type="dxa"/>
          </w:tblCellMar>
        </w:tblPrEx>
        <w:trPr>
          <w:trHeight w:val="740" w:hRule="atLeast"/>
          <w:jc w:val="center"/>
        </w:trPr>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969A0">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运行成本</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6240D">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数量指标</w:t>
            </w:r>
          </w:p>
        </w:tc>
        <w:tc>
          <w:tcPr>
            <w:tcW w:w="12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6A1C332">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保障办公人员数量</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9F8AF">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&lt;=19人</w:t>
            </w:r>
          </w:p>
        </w:tc>
        <w:tc>
          <w:tcPr>
            <w:tcW w:w="27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D561675">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关于印发职能配置内设机构和人员编制规定的通知</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82F5C">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15</w:t>
            </w:r>
          </w:p>
        </w:tc>
        <w:tc>
          <w:tcPr>
            <w:tcW w:w="7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2DAE30">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16人</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03FEE">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15</w:t>
            </w:r>
          </w:p>
        </w:tc>
      </w:tr>
      <w:tr w14:paraId="36E9B428">
        <w:tblPrEx>
          <w:tblCellMar>
            <w:top w:w="0" w:type="dxa"/>
            <w:left w:w="108" w:type="dxa"/>
            <w:bottom w:w="0" w:type="dxa"/>
            <w:right w:w="108" w:type="dxa"/>
          </w:tblCellMar>
        </w:tblPrEx>
        <w:trPr>
          <w:trHeight w:val="740" w:hRule="atLeast"/>
          <w:jc w:val="center"/>
        </w:trPr>
        <w:tc>
          <w:tcPr>
            <w:tcW w:w="9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BEC696">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管理效率</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55656">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时效指标</w:t>
            </w:r>
          </w:p>
        </w:tc>
        <w:tc>
          <w:tcPr>
            <w:tcW w:w="12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05E062C">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网络和信息化体系建设年限</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F9329">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&lt;=12个月</w:t>
            </w:r>
          </w:p>
        </w:tc>
        <w:tc>
          <w:tcPr>
            <w:tcW w:w="27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05D692E">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中共木垒哈萨克自治县委员会网络安全和信息化委员会办公室2023年工作计划</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8E905">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c>
          <w:tcPr>
            <w:tcW w:w="7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304074">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12个月</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5819A">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r>
      <w:tr w14:paraId="0FC57940">
        <w:tblPrEx>
          <w:tblCellMar>
            <w:top w:w="0" w:type="dxa"/>
            <w:left w:w="108" w:type="dxa"/>
            <w:bottom w:w="0" w:type="dxa"/>
            <w:right w:w="108" w:type="dxa"/>
          </w:tblCellMar>
        </w:tblPrEx>
        <w:trPr>
          <w:trHeight w:val="740" w:hRule="atLeast"/>
          <w:jc w:val="center"/>
        </w:trPr>
        <w:tc>
          <w:tcPr>
            <w:tcW w:w="9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B139C0">
            <w:pPr>
              <w:jc w:val="center"/>
              <w:rPr>
                <w:rFonts w:hint="eastAsia" w:cs="宋体" w:asciiTheme="minorEastAsia" w:hAnsiTheme="minorEastAsia" w:eastAsiaTheme="minorEastAsia"/>
                <w:color w:val="000000"/>
                <w:sz w:val="20"/>
                <w:szCs w:val="20"/>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13EB6">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数量指标</w:t>
            </w:r>
          </w:p>
        </w:tc>
        <w:tc>
          <w:tcPr>
            <w:tcW w:w="12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ACF9C4B">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开展网评抽查数量</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BAA5C">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&gt;=500份</w:t>
            </w:r>
          </w:p>
        </w:tc>
        <w:tc>
          <w:tcPr>
            <w:tcW w:w="27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9B35F57">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中共木垒哈萨克自治县委员会网络安全和信息化委员会办公室2023年工作计划</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D773A">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c>
          <w:tcPr>
            <w:tcW w:w="7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B3D81F">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500份</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6CDE4">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r>
      <w:tr w14:paraId="588C158F">
        <w:tblPrEx>
          <w:tblCellMar>
            <w:top w:w="0" w:type="dxa"/>
            <w:left w:w="108" w:type="dxa"/>
            <w:bottom w:w="0" w:type="dxa"/>
            <w:right w:w="108" w:type="dxa"/>
          </w:tblCellMar>
        </w:tblPrEx>
        <w:trPr>
          <w:trHeight w:val="740" w:hRule="atLeast"/>
          <w:jc w:val="center"/>
        </w:trPr>
        <w:tc>
          <w:tcPr>
            <w:tcW w:w="9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C9426D">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履职效能</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60F96">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成本指标</w:t>
            </w:r>
          </w:p>
        </w:tc>
        <w:tc>
          <w:tcPr>
            <w:tcW w:w="12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490CBFA">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网络安全相关业务培训开展数量</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E1189">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&gt;=4次</w:t>
            </w:r>
          </w:p>
        </w:tc>
        <w:tc>
          <w:tcPr>
            <w:tcW w:w="27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52374D6">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中共木垒哈萨克自治县委员会网络安全和信息化委员会办公室2023年工作计划</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5F4D5">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12</w:t>
            </w:r>
          </w:p>
        </w:tc>
        <w:tc>
          <w:tcPr>
            <w:tcW w:w="7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CE7DFA">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4次</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39731">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12</w:t>
            </w:r>
          </w:p>
        </w:tc>
      </w:tr>
      <w:tr w14:paraId="7EA18142">
        <w:tblPrEx>
          <w:tblCellMar>
            <w:top w:w="0" w:type="dxa"/>
            <w:left w:w="108" w:type="dxa"/>
            <w:bottom w:w="0" w:type="dxa"/>
            <w:right w:w="108" w:type="dxa"/>
          </w:tblCellMar>
        </w:tblPrEx>
        <w:trPr>
          <w:trHeight w:val="740" w:hRule="atLeast"/>
          <w:jc w:val="center"/>
        </w:trPr>
        <w:tc>
          <w:tcPr>
            <w:tcW w:w="9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23E8DE">
            <w:pPr>
              <w:jc w:val="center"/>
              <w:rPr>
                <w:rFonts w:hint="eastAsia" w:cs="宋体" w:asciiTheme="minorEastAsia" w:hAnsiTheme="minorEastAsia" w:eastAsiaTheme="minorEastAsia"/>
                <w:color w:val="000000"/>
                <w:sz w:val="20"/>
                <w:szCs w:val="20"/>
              </w:rPr>
            </w:pPr>
          </w:p>
        </w:tc>
        <w:tc>
          <w:tcPr>
            <w:tcW w:w="8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A93EED">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质量指标</w:t>
            </w:r>
          </w:p>
        </w:tc>
        <w:tc>
          <w:tcPr>
            <w:tcW w:w="12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CDFDF5D">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全县网络安全宣传次数</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8E7C0">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&gt;=4次</w:t>
            </w:r>
          </w:p>
        </w:tc>
        <w:tc>
          <w:tcPr>
            <w:tcW w:w="27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62F78FC">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中共木垒哈萨克自治县委员会网络安全和信息化委员会办公室2023年工作计划</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112EB">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c>
          <w:tcPr>
            <w:tcW w:w="7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7FA420">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4次</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848E6">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r>
      <w:tr w14:paraId="23581DD6">
        <w:tblPrEx>
          <w:tblCellMar>
            <w:top w:w="0" w:type="dxa"/>
            <w:left w:w="108" w:type="dxa"/>
            <w:bottom w:w="0" w:type="dxa"/>
            <w:right w:w="108" w:type="dxa"/>
          </w:tblCellMar>
        </w:tblPrEx>
        <w:trPr>
          <w:trHeight w:val="740" w:hRule="atLeast"/>
          <w:jc w:val="center"/>
        </w:trPr>
        <w:tc>
          <w:tcPr>
            <w:tcW w:w="9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E8BBC9">
            <w:pPr>
              <w:jc w:val="center"/>
              <w:rPr>
                <w:rFonts w:hint="eastAsia" w:cs="宋体" w:asciiTheme="minorEastAsia" w:hAnsiTheme="minorEastAsia" w:eastAsiaTheme="minorEastAsia"/>
                <w:color w:val="000000"/>
                <w:sz w:val="20"/>
                <w:szCs w:val="20"/>
              </w:rPr>
            </w:pPr>
          </w:p>
        </w:tc>
        <w:tc>
          <w:tcPr>
            <w:tcW w:w="8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78DCC5">
            <w:pPr>
              <w:jc w:val="center"/>
              <w:rPr>
                <w:rFonts w:hint="eastAsia" w:cs="宋体" w:asciiTheme="minorEastAsia" w:hAnsiTheme="minorEastAsia" w:eastAsiaTheme="minorEastAsia"/>
                <w:color w:val="000000"/>
                <w:sz w:val="20"/>
                <w:szCs w:val="20"/>
              </w:rPr>
            </w:pPr>
          </w:p>
        </w:tc>
        <w:tc>
          <w:tcPr>
            <w:tcW w:w="12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ABA47BD">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属地网站及关键信息基础设施正常运行率</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ECCC9">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&gt;=95%</w:t>
            </w:r>
          </w:p>
        </w:tc>
        <w:tc>
          <w:tcPr>
            <w:tcW w:w="27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AE344E4">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中共木垒哈萨克自治县委员会网络安全和信息化委员会办公室2023年工作计划</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69AB2">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c>
          <w:tcPr>
            <w:tcW w:w="7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F97D87">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95%</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155DF">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r>
      <w:tr w14:paraId="0F0968B0">
        <w:tblPrEx>
          <w:tblCellMar>
            <w:top w:w="0" w:type="dxa"/>
            <w:left w:w="108" w:type="dxa"/>
            <w:bottom w:w="0" w:type="dxa"/>
            <w:right w:w="108" w:type="dxa"/>
          </w:tblCellMar>
        </w:tblPrEx>
        <w:trPr>
          <w:trHeight w:val="740" w:hRule="atLeast"/>
          <w:jc w:val="center"/>
        </w:trPr>
        <w:tc>
          <w:tcPr>
            <w:tcW w:w="9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7D72B6">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社会效益</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66D09">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时效指标</w:t>
            </w:r>
          </w:p>
        </w:tc>
        <w:tc>
          <w:tcPr>
            <w:tcW w:w="12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CB1BF99">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持续提高属地网络安全运行</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01571">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&gt;=1年</w:t>
            </w:r>
          </w:p>
        </w:tc>
        <w:tc>
          <w:tcPr>
            <w:tcW w:w="27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613671F">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中共木垒哈萨克自治县委员会网络安全和信息化委员会办公室2023年工作计划</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7C64A">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13</w:t>
            </w:r>
          </w:p>
        </w:tc>
        <w:tc>
          <w:tcPr>
            <w:tcW w:w="7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2EB6F0">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1年</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CD58D">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13</w:t>
            </w:r>
          </w:p>
        </w:tc>
      </w:tr>
      <w:tr w14:paraId="12BEA9F0">
        <w:tblPrEx>
          <w:tblCellMar>
            <w:top w:w="0" w:type="dxa"/>
            <w:left w:w="108" w:type="dxa"/>
            <w:bottom w:w="0" w:type="dxa"/>
            <w:right w:w="108" w:type="dxa"/>
          </w:tblCellMar>
        </w:tblPrEx>
        <w:trPr>
          <w:trHeight w:val="740" w:hRule="atLeast"/>
          <w:jc w:val="center"/>
        </w:trPr>
        <w:tc>
          <w:tcPr>
            <w:tcW w:w="9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01CFB9">
            <w:pPr>
              <w:jc w:val="center"/>
              <w:rPr>
                <w:rFonts w:hint="eastAsia" w:cs="宋体" w:asciiTheme="minorEastAsia" w:hAnsiTheme="minorEastAsia" w:eastAsiaTheme="minorEastAsia"/>
                <w:color w:val="000000"/>
                <w:sz w:val="20"/>
                <w:szCs w:val="20"/>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AD75B">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质量指标</w:t>
            </w:r>
          </w:p>
        </w:tc>
        <w:tc>
          <w:tcPr>
            <w:tcW w:w="12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8748E4F">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属地网络空间清朗率</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434C7">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&gt;=95%</w:t>
            </w:r>
          </w:p>
        </w:tc>
        <w:tc>
          <w:tcPr>
            <w:tcW w:w="27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CE9AC74">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中共木垒哈萨克自治县委员会网络安全和信息化委员会办公室2023年工作计划</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9C923">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c>
          <w:tcPr>
            <w:tcW w:w="7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F62C3D">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95%</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C08E9">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r>
    </w:tbl>
    <w:p w14:paraId="17F01AFC">
      <w:pPr>
        <w:ind w:firstLine="640" w:firstLineChars="200"/>
        <w:jc w:val="left"/>
        <w:rPr>
          <w:rFonts w:hint="eastAsia" w:ascii="仿宋_GB2312" w:hAnsi="仿宋_GB2312" w:eastAsia="仿宋_GB2312" w:cs="仿宋_GB2312"/>
          <w:kern w:val="0"/>
          <w:sz w:val="32"/>
          <w:szCs w:val="32"/>
          <w:lang w:eastAsia="zh-Hans"/>
        </w:rPr>
      </w:pPr>
    </w:p>
    <w:p w14:paraId="7147FC20">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71A05BDF">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w:t>
      </w:r>
      <w:r>
        <w:rPr>
          <w:rFonts w:hint="eastAsia" w:ascii="仿宋_GB2312" w:hAnsi="仿宋_GB2312" w:eastAsia="仿宋_GB2312" w:cs="仿宋_GB2312"/>
          <w:kern w:val="0"/>
          <w:sz w:val="32"/>
          <w:szCs w:val="32"/>
          <w:lang w:val="en-US" w:eastAsia="zh-CN"/>
        </w:rPr>
        <w:t>单位</w:t>
      </w:r>
      <w:r>
        <w:rPr>
          <w:rFonts w:hint="eastAsia" w:ascii="仿宋_GB2312" w:hAnsi="仿宋_GB2312" w:eastAsia="仿宋_GB2312" w:cs="仿宋_GB2312"/>
          <w:kern w:val="0"/>
          <w:sz w:val="32"/>
          <w:szCs w:val="32"/>
        </w:rPr>
        <w:t>当年预算绩效评价项目有1个涉密项目，涉及全年预算数</w:t>
      </w:r>
      <w:r>
        <w:rPr>
          <w:rFonts w:ascii="仿宋_GB2312" w:hAnsi="仿宋_GB2312" w:eastAsia="仿宋_GB2312" w:cs="仿宋_GB2312"/>
          <w:kern w:val="0"/>
          <w:sz w:val="32"/>
          <w:szCs w:val="32"/>
        </w:rPr>
        <w:t>15</w:t>
      </w:r>
      <w:r>
        <w:rPr>
          <w:rFonts w:hint="eastAsia" w:ascii="仿宋_GB2312" w:hAnsi="仿宋_GB2312" w:eastAsia="仿宋_GB2312" w:cs="仿宋_GB2312"/>
          <w:kern w:val="0"/>
          <w:sz w:val="32"/>
          <w:szCs w:val="32"/>
        </w:rPr>
        <w:t>.00万元，全年</w:t>
      </w:r>
      <w:bookmarkStart w:id="49" w:name="_GoBack"/>
      <w:bookmarkEnd w:id="49"/>
      <w:r>
        <w:rPr>
          <w:rFonts w:hint="eastAsia" w:ascii="仿宋_GB2312" w:hAnsi="仿宋_GB2312" w:eastAsia="仿宋_GB2312" w:cs="仿宋_GB2312"/>
          <w:kern w:val="0"/>
          <w:sz w:val="32"/>
          <w:szCs w:val="32"/>
        </w:rPr>
        <w:t>执行数</w:t>
      </w:r>
      <w:r>
        <w:rPr>
          <w:rFonts w:ascii="仿宋_GB2312" w:hAnsi="仿宋_GB2312" w:eastAsia="仿宋_GB2312" w:cs="仿宋_GB2312"/>
          <w:kern w:val="0"/>
          <w:sz w:val="32"/>
          <w:szCs w:val="32"/>
        </w:rPr>
        <w:t>15.0</w:t>
      </w:r>
      <w:r>
        <w:rPr>
          <w:rFonts w:hint="eastAsia" w:ascii="仿宋_GB2312" w:hAnsi="仿宋_GB2312" w:eastAsia="仿宋_GB2312" w:cs="仿宋_GB2312"/>
          <w:kern w:val="0"/>
          <w:sz w:val="32"/>
          <w:szCs w:val="32"/>
        </w:rPr>
        <w:t>0万元，未公开绩效自评表原因：涉密项目不公开项目绩效自评表。</w:t>
      </w:r>
    </w:p>
    <w:p w14:paraId="2FF16AC8">
      <w:pPr>
        <w:jc w:val="center"/>
        <w:outlineLvl w:val="0"/>
        <w:rPr>
          <w:rFonts w:hint="eastAsia" w:ascii="黑体" w:hAnsi="黑体" w:eastAsia="黑体"/>
          <w:sz w:val="32"/>
          <w:szCs w:val="32"/>
        </w:rPr>
      </w:pPr>
      <w:bookmarkStart w:id="31" w:name="_Toc24143"/>
      <w:bookmarkStart w:id="32"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1"/>
      <w:bookmarkEnd w:id="32"/>
    </w:p>
    <w:p w14:paraId="5B9A3C5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470AC77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039276C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24E438C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62637E9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1DFB4AB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4C6DC6E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2A74CB9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DB3056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37E2CD9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12F68BF4">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1763BE8C">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6891CF75">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CD0AA19">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2C1A5ED2">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0AB45AAF">
      <w:pPr>
        <w:ind w:firstLine="640" w:firstLineChars="200"/>
        <w:outlineLvl w:val="1"/>
        <w:rPr>
          <w:rFonts w:hint="eastAsia" w:ascii="黑体" w:hAnsi="黑体" w:eastAsia="仿宋_GB2312" w:cs="宋体"/>
          <w:bCs/>
          <w:kern w:val="0"/>
          <w:sz w:val="32"/>
          <w:szCs w:val="32"/>
        </w:rPr>
      </w:pPr>
      <w:bookmarkStart w:id="33" w:name="_Toc6062"/>
      <w:bookmarkStart w:id="34" w:name="_Toc2183"/>
      <w:r>
        <w:rPr>
          <w:rFonts w:hint="eastAsia" w:ascii="黑体" w:hAnsi="黑体" w:eastAsia="仿宋_GB2312" w:cs="宋体"/>
          <w:bCs/>
          <w:kern w:val="0"/>
          <w:sz w:val="32"/>
          <w:szCs w:val="32"/>
        </w:rPr>
        <w:t>一、《收入支出决算总表》</w:t>
      </w:r>
      <w:bookmarkEnd w:id="33"/>
      <w:bookmarkEnd w:id="34"/>
    </w:p>
    <w:p w14:paraId="4407AE7C">
      <w:pPr>
        <w:ind w:firstLine="640" w:firstLineChars="200"/>
        <w:outlineLvl w:val="1"/>
        <w:rPr>
          <w:rFonts w:hint="eastAsia" w:ascii="黑体" w:hAnsi="黑体" w:eastAsia="仿宋_GB2312" w:cs="宋体"/>
          <w:bCs/>
          <w:kern w:val="0"/>
          <w:sz w:val="32"/>
          <w:szCs w:val="32"/>
        </w:rPr>
      </w:pPr>
      <w:bookmarkStart w:id="35" w:name="_Toc24532"/>
      <w:bookmarkStart w:id="36" w:name="_Toc30364"/>
      <w:r>
        <w:rPr>
          <w:rFonts w:hint="eastAsia" w:ascii="黑体" w:hAnsi="黑体" w:eastAsia="仿宋_GB2312" w:cs="宋体"/>
          <w:bCs/>
          <w:kern w:val="0"/>
          <w:sz w:val="32"/>
          <w:szCs w:val="32"/>
        </w:rPr>
        <w:t>二、《收入决算表》</w:t>
      </w:r>
      <w:bookmarkEnd w:id="35"/>
      <w:bookmarkEnd w:id="36"/>
    </w:p>
    <w:p w14:paraId="75BDACC0">
      <w:pPr>
        <w:ind w:firstLine="640" w:firstLineChars="200"/>
        <w:outlineLvl w:val="1"/>
        <w:rPr>
          <w:rFonts w:hint="eastAsia" w:ascii="黑体" w:hAnsi="黑体" w:eastAsia="仿宋_GB2312" w:cs="宋体"/>
          <w:bCs/>
          <w:kern w:val="0"/>
          <w:sz w:val="32"/>
          <w:szCs w:val="32"/>
        </w:rPr>
      </w:pPr>
      <w:bookmarkStart w:id="37" w:name="_Toc32434"/>
      <w:bookmarkStart w:id="38" w:name="_Toc21304"/>
      <w:r>
        <w:rPr>
          <w:rFonts w:hint="eastAsia" w:ascii="黑体" w:hAnsi="黑体" w:eastAsia="仿宋_GB2312" w:cs="宋体"/>
          <w:bCs/>
          <w:kern w:val="0"/>
          <w:sz w:val="32"/>
          <w:szCs w:val="32"/>
        </w:rPr>
        <w:t>三、《支出决算表》</w:t>
      </w:r>
      <w:bookmarkEnd w:id="37"/>
      <w:bookmarkEnd w:id="38"/>
    </w:p>
    <w:p w14:paraId="08993C90">
      <w:pPr>
        <w:ind w:firstLine="640" w:firstLineChars="200"/>
        <w:outlineLvl w:val="1"/>
        <w:rPr>
          <w:rFonts w:hint="eastAsia" w:ascii="黑体" w:hAnsi="黑体" w:eastAsia="仿宋_GB2312" w:cs="宋体"/>
          <w:bCs/>
          <w:kern w:val="0"/>
          <w:sz w:val="32"/>
          <w:szCs w:val="32"/>
        </w:rPr>
      </w:pPr>
      <w:bookmarkStart w:id="39" w:name="_Toc14238"/>
      <w:bookmarkStart w:id="40" w:name="_Toc28786"/>
      <w:r>
        <w:rPr>
          <w:rFonts w:hint="eastAsia" w:ascii="黑体" w:hAnsi="黑体" w:eastAsia="仿宋_GB2312" w:cs="宋体"/>
          <w:bCs/>
          <w:kern w:val="0"/>
          <w:sz w:val="32"/>
          <w:szCs w:val="32"/>
        </w:rPr>
        <w:t>四、《财政拨款收入支出决算总表》</w:t>
      </w:r>
      <w:bookmarkEnd w:id="39"/>
      <w:bookmarkEnd w:id="40"/>
    </w:p>
    <w:p w14:paraId="79B508B2">
      <w:pPr>
        <w:ind w:firstLine="640" w:firstLineChars="200"/>
        <w:outlineLvl w:val="1"/>
        <w:rPr>
          <w:rFonts w:hint="eastAsia" w:ascii="黑体" w:hAnsi="黑体" w:eastAsia="仿宋_GB2312" w:cs="宋体"/>
          <w:bCs/>
          <w:kern w:val="0"/>
          <w:sz w:val="32"/>
          <w:szCs w:val="32"/>
        </w:rPr>
      </w:pPr>
      <w:bookmarkStart w:id="41" w:name="_Toc14869"/>
      <w:bookmarkStart w:id="42" w:name="_Toc10347"/>
      <w:r>
        <w:rPr>
          <w:rFonts w:hint="eastAsia" w:ascii="黑体" w:hAnsi="黑体" w:eastAsia="仿宋_GB2312" w:cs="宋体"/>
          <w:bCs/>
          <w:kern w:val="0"/>
          <w:sz w:val="32"/>
          <w:szCs w:val="32"/>
        </w:rPr>
        <w:t>五、《一般公共预算财政拨款支出决算表》</w:t>
      </w:r>
      <w:bookmarkEnd w:id="41"/>
      <w:bookmarkEnd w:id="42"/>
    </w:p>
    <w:p w14:paraId="311B9132">
      <w:pPr>
        <w:ind w:firstLine="640" w:firstLineChars="200"/>
        <w:outlineLvl w:val="1"/>
        <w:rPr>
          <w:rFonts w:hint="eastAsia" w:ascii="黑体" w:hAnsi="黑体" w:eastAsia="仿宋_GB2312" w:cs="宋体"/>
          <w:bCs/>
          <w:kern w:val="0"/>
          <w:sz w:val="32"/>
          <w:szCs w:val="32"/>
        </w:rPr>
      </w:pPr>
      <w:bookmarkStart w:id="43" w:name="_Toc5626"/>
      <w:bookmarkStart w:id="44" w:name="_Toc8884"/>
      <w:r>
        <w:rPr>
          <w:rFonts w:hint="eastAsia" w:ascii="黑体" w:hAnsi="黑体" w:eastAsia="仿宋_GB2312" w:cs="宋体"/>
          <w:bCs/>
          <w:kern w:val="0"/>
          <w:sz w:val="32"/>
          <w:szCs w:val="32"/>
        </w:rPr>
        <w:t>六、《一般公共预算财政拨款基本支出决算表》</w:t>
      </w:r>
      <w:bookmarkEnd w:id="43"/>
      <w:bookmarkEnd w:id="44"/>
    </w:p>
    <w:p w14:paraId="099E00D0">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5" w:name="_Toc29106"/>
      <w:bookmarkStart w:id="46" w:name="_Toc32663"/>
      <w:r>
        <w:rPr>
          <w:rFonts w:hint="eastAsia" w:ascii="黑体" w:hAnsi="黑体" w:eastAsia="仿宋_GB2312" w:cs="宋体"/>
          <w:bCs/>
          <w:kern w:val="0"/>
          <w:sz w:val="32"/>
          <w:szCs w:val="32"/>
        </w:rPr>
        <w:t>《财政拨款“三公”经费支出决算表》</w:t>
      </w:r>
      <w:bookmarkEnd w:id="45"/>
      <w:bookmarkEnd w:id="46"/>
    </w:p>
    <w:p w14:paraId="0D91D048">
      <w:pPr>
        <w:ind w:firstLine="640" w:firstLineChars="200"/>
        <w:outlineLvl w:val="1"/>
        <w:rPr>
          <w:rFonts w:hint="eastAsia" w:ascii="黑体" w:hAnsi="黑体" w:eastAsia="仿宋_GB2312" w:cs="宋体"/>
          <w:bCs/>
          <w:kern w:val="0"/>
          <w:sz w:val="32"/>
          <w:szCs w:val="32"/>
        </w:rPr>
      </w:pPr>
      <w:bookmarkStart w:id="47" w:name="_Toc5453"/>
      <w:bookmarkStart w:id="48" w:name="_Toc7643"/>
      <w:r>
        <w:rPr>
          <w:rFonts w:hint="eastAsia" w:ascii="黑体" w:hAnsi="黑体" w:eastAsia="仿宋_GB2312" w:cs="宋体"/>
          <w:bCs/>
          <w:kern w:val="0"/>
          <w:sz w:val="32"/>
          <w:szCs w:val="32"/>
        </w:rPr>
        <w:t>八、《政府性基金预算财政拨款收入支出决算表》</w:t>
      </w:r>
      <w:bookmarkEnd w:id="47"/>
      <w:bookmarkEnd w:id="48"/>
    </w:p>
    <w:p w14:paraId="2DF00DC9">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6D4D9143">
      <w:pPr>
        <w:ind w:firstLine="640" w:firstLineChars="200"/>
        <w:rPr>
          <w:rFonts w:ascii="仿宋_GB2312" w:eastAsia="仿宋_GB2312"/>
          <w:sz w:val="32"/>
          <w:szCs w:val="32"/>
        </w:rPr>
      </w:pPr>
    </w:p>
    <w:p w14:paraId="53CAAED9">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35BBC4">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B185056">
                          <w:pPr>
                            <w:pStyle w:val="4"/>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3B185056">
                    <w:pPr>
                      <w:pStyle w:val="4"/>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8F2260"/>
    <w:rsid w:val="000740AE"/>
    <w:rsid w:val="000D543B"/>
    <w:rsid w:val="00104170"/>
    <w:rsid w:val="001E0E0F"/>
    <w:rsid w:val="00213C59"/>
    <w:rsid w:val="00244C3E"/>
    <w:rsid w:val="00317E7F"/>
    <w:rsid w:val="003210CE"/>
    <w:rsid w:val="003B2D64"/>
    <w:rsid w:val="005214AB"/>
    <w:rsid w:val="00725356"/>
    <w:rsid w:val="00730215"/>
    <w:rsid w:val="007424F4"/>
    <w:rsid w:val="00761EEB"/>
    <w:rsid w:val="008C11F1"/>
    <w:rsid w:val="008F2260"/>
    <w:rsid w:val="009D3CEA"/>
    <w:rsid w:val="00AD4379"/>
    <w:rsid w:val="00B128D6"/>
    <w:rsid w:val="00B70D59"/>
    <w:rsid w:val="00BF372C"/>
    <w:rsid w:val="00F52A8D"/>
    <w:rsid w:val="00F5617A"/>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B2666"/>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041C3D"/>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8790DD0"/>
    <w:rsid w:val="78E35D19"/>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5924</Words>
  <Characters>6706</Characters>
  <Lines>57</Lines>
  <Paragraphs>16</Paragraphs>
  <TotalTime>6</TotalTime>
  <ScaleCrop>false</ScaleCrop>
  <LinksUpToDate>false</LinksUpToDate>
  <CharactersWithSpaces>6716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2024-12-27T05:42:40Z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y fmtid="{D5CDD505-2E9C-101B-9397-08002B2CF9AE}" pid="4" name="KSOTemplateDocerSaveRecord">
    <vt:lpwstr>eyJoZGlkIjoiMzEwNTM5NzYwMDRjMzkwZTVkZjY2ODkwMGIxNGU0OTUiLCJ1c2VySWQiOiIxMTcxMDQ1MzEwIn0=</vt:lpwstr>
  </property>
</Properties>
</file>